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22DBA003"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630691">
        <w:rPr>
          <w:rFonts w:ascii="Arial" w:eastAsia="Tahoma" w:hAnsi="Arial" w:cs="Arial"/>
          <w:b/>
          <w:bCs/>
          <w:kern w:val="0"/>
          <w:sz w:val="22"/>
          <w:szCs w:val="22"/>
        </w:rPr>
        <w:t>12</w:t>
      </w:r>
      <w:r w:rsidR="00E55ABF">
        <w:rPr>
          <w:rFonts w:ascii="Arial" w:eastAsia="Tahoma" w:hAnsi="Arial" w:cs="Arial"/>
          <w:b/>
          <w:bCs/>
          <w:kern w:val="0"/>
          <w:sz w:val="22"/>
          <w:szCs w:val="22"/>
        </w:rPr>
        <w:t>1</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8964AB" w:rsidRPr="008964AB">
        <w:rPr>
          <w:rFonts w:ascii="Arial" w:eastAsia="Tahoma" w:hAnsi="Arial" w:cs="Arial"/>
          <w:b/>
          <w:bCs/>
          <w:kern w:val="0"/>
          <w:sz w:val="22"/>
          <w:szCs w:val="22"/>
        </w:rPr>
        <w:t>R2-</w:t>
      </w:r>
      <w:r w:rsidR="000A3D5E">
        <w:rPr>
          <w:rFonts w:ascii="Arial" w:eastAsia="Tahoma" w:hAnsi="Arial" w:cs="Arial"/>
          <w:b/>
          <w:bCs/>
          <w:kern w:val="0"/>
          <w:sz w:val="22"/>
          <w:szCs w:val="22"/>
        </w:rPr>
        <w:t>2</w:t>
      </w:r>
      <w:r w:rsidR="00A05DA8">
        <w:rPr>
          <w:rFonts w:ascii="Arial" w:eastAsia="Tahoma" w:hAnsi="Arial" w:cs="Arial"/>
          <w:b/>
          <w:bCs/>
          <w:kern w:val="0"/>
          <w:sz w:val="22"/>
          <w:szCs w:val="22"/>
        </w:rPr>
        <w:t>300446</w:t>
      </w:r>
    </w:p>
    <w:p w14:paraId="39EA01E6" w14:textId="39838A38" w:rsidR="00541641" w:rsidRPr="00D8388D" w:rsidRDefault="00E55ABF" w:rsidP="00541641">
      <w:pPr>
        <w:widowControl/>
        <w:tabs>
          <w:tab w:val="left" w:pos="1979"/>
        </w:tabs>
        <w:spacing w:after="180"/>
        <w:jc w:val="left"/>
        <w:rPr>
          <w:rFonts w:ascii="Arial" w:eastAsia="Tahoma" w:hAnsi="Arial" w:cs="Arial"/>
          <w:b/>
          <w:bCs/>
          <w:kern w:val="0"/>
          <w:sz w:val="22"/>
          <w:szCs w:val="22"/>
        </w:rPr>
      </w:pPr>
      <w:proofErr w:type="spellStart"/>
      <w:r w:rsidRPr="00E55ABF">
        <w:rPr>
          <w:rFonts w:ascii="Arial" w:eastAsia="Tahoma" w:hAnsi="Arial" w:cs="Arial" w:hint="eastAsia"/>
          <w:b/>
          <w:bCs/>
          <w:kern w:val="0"/>
          <w:sz w:val="22"/>
          <w:szCs w:val="22"/>
        </w:rPr>
        <w:t>AThens</w:t>
      </w:r>
      <w:proofErr w:type="spellEnd"/>
      <w:r w:rsidR="00630691" w:rsidRPr="00630691">
        <w:rPr>
          <w:rFonts w:ascii="Arial" w:eastAsia="Tahoma" w:hAnsi="Arial" w:cs="Arial"/>
          <w:b/>
          <w:bCs/>
          <w:kern w:val="0"/>
          <w:sz w:val="22"/>
          <w:szCs w:val="22"/>
        </w:rPr>
        <w:t xml:space="preserve">, </w:t>
      </w:r>
      <w:r w:rsidRPr="00E55ABF">
        <w:rPr>
          <w:rFonts w:ascii="Arial" w:eastAsia="Tahoma" w:hAnsi="Arial" w:cs="Arial" w:hint="eastAsia"/>
          <w:b/>
          <w:bCs/>
          <w:kern w:val="0"/>
          <w:sz w:val="22"/>
          <w:szCs w:val="22"/>
        </w:rPr>
        <w:t>Greece</w:t>
      </w:r>
      <w:r w:rsidR="003E6B29">
        <w:rPr>
          <w:rFonts w:ascii="Arial" w:eastAsia="Tahoma" w:hAnsi="Arial" w:cs="Arial"/>
          <w:b/>
          <w:bCs/>
          <w:kern w:val="0"/>
          <w:sz w:val="22"/>
          <w:szCs w:val="22"/>
        </w:rPr>
        <w:t xml:space="preserve">, </w:t>
      </w:r>
      <w:r w:rsidRPr="00E55ABF">
        <w:rPr>
          <w:rFonts w:ascii="Arial" w:eastAsia="Tahoma" w:hAnsi="Arial" w:cs="Arial" w:hint="eastAsia"/>
          <w:b/>
          <w:bCs/>
          <w:kern w:val="0"/>
          <w:sz w:val="22"/>
          <w:szCs w:val="22"/>
        </w:rPr>
        <w:t>Feb</w:t>
      </w:r>
      <w:r w:rsidR="00630691" w:rsidRPr="00630691">
        <w:rPr>
          <w:rFonts w:ascii="Arial" w:eastAsia="Tahoma" w:hAnsi="Arial" w:cs="Arial"/>
          <w:b/>
          <w:bCs/>
          <w:kern w:val="0"/>
          <w:sz w:val="22"/>
          <w:szCs w:val="22"/>
        </w:rPr>
        <w:t xml:space="preserve">. </w:t>
      </w:r>
      <w:r>
        <w:rPr>
          <w:rFonts w:ascii="Arial" w:eastAsia="Tahoma" w:hAnsi="Arial" w:cs="Arial"/>
          <w:b/>
          <w:bCs/>
          <w:kern w:val="0"/>
          <w:sz w:val="22"/>
          <w:szCs w:val="22"/>
        </w:rPr>
        <w:t>27</w:t>
      </w:r>
      <w:r w:rsidR="00630691" w:rsidRPr="00E55ABF">
        <w:rPr>
          <w:rFonts w:ascii="Arial" w:eastAsia="Tahoma" w:hAnsi="Arial" w:cs="Arial"/>
          <w:b/>
          <w:bCs/>
          <w:kern w:val="0"/>
          <w:sz w:val="22"/>
          <w:szCs w:val="22"/>
        </w:rPr>
        <w:t>th</w:t>
      </w:r>
      <w:r w:rsidR="00630691" w:rsidRPr="00630691">
        <w:rPr>
          <w:rFonts w:ascii="Arial" w:eastAsia="Tahoma" w:hAnsi="Arial" w:cs="Arial"/>
          <w:b/>
          <w:bCs/>
          <w:kern w:val="0"/>
          <w:sz w:val="22"/>
          <w:szCs w:val="22"/>
        </w:rPr>
        <w:t xml:space="preserve">- </w:t>
      </w:r>
      <w:r w:rsidRPr="00E55ABF">
        <w:rPr>
          <w:rFonts w:ascii="Arial" w:eastAsia="Tahoma" w:hAnsi="Arial" w:cs="Arial" w:hint="eastAsia"/>
          <w:b/>
          <w:bCs/>
          <w:kern w:val="0"/>
          <w:sz w:val="22"/>
          <w:szCs w:val="22"/>
        </w:rPr>
        <w:t>Mar</w:t>
      </w:r>
      <w:r w:rsidR="00630691" w:rsidRPr="00630691">
        <w:rPr>
          <w:rFonts w:ascii="Arial" w:eastAsia="Tahoma" w:hAnsi="Arial" w:cs="Arial"/>
          <w:b/>
          <w:bCs/>
          <w:kern w:val="0"/>
          <w:sz w:val="22"/>
          <w:szCs w:val="22"/>
        </w:rPr>
        <w:t xml:space="preserve">. </w:t>
      </w:r>
      <w:r>
        <w:rPr>
          <w:rFonts w:ascii="Arial" w:eastAsia="Tahoma" w:hAnsi="Arial" w:cs="Arial"/>
          <w:b/>
          <w:bCs/>
          <w:kern w:val="0"/>
          <w:sz w:val="22"/>
          <w:szCs w:val="22"/>
        </w:rPr>
        <w:t>3</w:t>
      </w:r>
      <w:r w:rsidR="00630691" w:rsidRPr="00E55ABF">
        <w:rPr>
          <w:rFonts w:ascii="Arial" w:eastAsia="Tahoma" w:hAnsi="Arial" w:cs="Arial"/>
          <w:b/>
          <w:bCs/>
          <w:kern w:val="0"/>
          <w:sz w:val="22"/>
          <w:szCs w:val="22"/>
        </w:rPr>
        <w:t>th</w:t>
      </w:r>
      <w:r w:rsidR="00630691" w:rsidRPr="00630691">
        <w:rPr>
          <w:rFonts w:ascii="Arial" w:eastAsia="Tahoma" w:hAnsi="Arial" w:cs="Arial"/>
          <w:b/>
          <w:bCs/>
          <w:kern w:val="0"/>
          <w:sz w:val="22"/>
          <w:szCs w:val="22"/>
        </w:rPr>
        <w:t>, 202</w:t>
      </w:r>
      <w:r>
        <w:rPr>
          <w:rFonts w:ascii="Arial" w:eastAsia="Tahoma" w:hAnsi="Arial" w:cs="Arial"/>
          <w:b/>
          <w:bCs/>
          <w:kern w:val="0"/>
          <w:sz w:val="22"/>
          <w:szCs w:val="22"/>
        </w:rPr>
        <w:t>3</w:t>
      </w:r>
    </w:p>
    <w:p w14:paraId="615799DD" w14:textId="384263FE"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8964AB">
        <w:rPr>
          <w:rFonts w:ascii="Arial" w:eastAsia="宋体" w:hAnsi="Arial" w:cs="Times New Roman"/>
          <w:b/>
          <w:kern w:val="0"/>
          <w:sz w:val="22"/>
          <w:szCs w:val="22"/>
        </w:rPr>
        <w:t>8.3.</w:t>
      </w:r>
      <w:r w:rsidR="00E55ABF">
        <w:rPr>
          <w:rFonts w:ascii="Arial" w:eastAsia="宋体" w:hAnsi="Arial" w:cs="Times New Roman"/>
          <w:b/>
          <w:kern w:val="0"/>
          <w:sz w:val="22"/>
          <w:szCs w:val="22"/>
        </w:rPr>
        <w:t>4</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0B0A3D52"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8964AB" w:rsidRPr="008964AB">
        <w:rPr>
          <w:rFonts w:ascii="Arial" w:eastAsia="宋体" w:hAnsi="Arial" w:cs="Times New Roman"/>
          <w:b/>
          <w:kern w:val="0"/>
          <w:sz w:val="22"/>
          <w:szCs w:val="22"/>
        </w:rPr>
        <w:t xml:space="preserve">Discussion on </w:t>
      </w:r>
      <w:r w:rsidR="000A3D5E">
        <w:rPr>
          <w:rFonts w:ascii="Arial" w:eastAsia="宋体" w:hAnsi="Arial" w:cs="Times New Roman"/>
          <w:b/>
          <w:kern w:val="0"/>
          <w:sz w:val="22"/>
          <w:szCs w:val="22"/>
        </w:rPr>
        <w:t xml:space="preserve">cell </w:t>
      </w:r>
      <w:r w:rsidR="00E55ABF">
        <w:rPr>
          <w:rFonts w:ascii="Arial" w:eastAsia="宋体" w:hAnsi="Arial" w:cs="Times New Roman" w:hint="eastAsia"/>
          <w:b/>
          <w:kern w:val="0"/>
          <w:sz w:val="22"/>
          <w:szCs w:val="22"/>
        </w:rPr>
        <w:t>selection</w:t>
      </w:r>
      <w:r w:rsidR="00630691">
        <w:rPr>
          <w:rFonts w:ascii="Arial" w:eastAsia="宋体" w:hAnsi="Arial" w:cs="Times New Roman"/>
          <w:b/>
          <w:kern w:val="0"/>
          <w:sz w:val="22"/>
          <w:szCs w:val="22"/>
        </w:rPr>
        <w:t>/</w:t>
      </w:r>
      <w:r w:rsidR="00E55ABF">
        <w:rPr>
          <w:rFonts w:ascii="Arial" w:eastAsia="宋体" w:hAnsi="Arial" w:cs="Times New Roman" w:hint="eastAsia"/>
          <w:b/>
          <w:kern w:val="0"/>
          <w:sz w:val="22"/>
          <w:szCs w:val="22"/>
        </w:rPr>
        <w:t>re</w:t>
      </w:r>
      <w:r w:rsidR="00E55ABF">
        <w:rPr>
          <w:rFonts w:ascii="Arial" w:eastAsia="宋体" w:hAnsi="Arial" w:cs="Times New Roman"/>
          <w:b/>
          <w:kern w:val="0"/>
          <w:sz w:val="22"/>
          <w:szCs w:val="22"/>
        </w:rPr>
        <w:t>-</w:t>
      </w:r>
      <w:r w:rsidR="00E55ABF">
        <w:rPr>
          <w:rFonts w:ascii="Arial" w:eastAsia="宋体" w:hAnsi="Arial" w:cs="Times New Roman" w:hint="eastAsia"/>
          <w:b/>
          <w:kern w:val="0"/>
          <w:sz w:val="22"/>
          <w:szCs w:val="22"/>
        </w:rPr>
        <w:t>selection</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79BE3F07" w14:textId="36EC79F4" w:rsidR="00FF6FD6" w:rsidRPr="00FF6FD6" w:rsidRDefault="00541641" w:rsidP="00FF6FD6">
      <w:pPr>
        <w:spacing w:afterLines="50" w:after="156"/>
        <w:rPr>
          <w:rFonts w:eastAsia="宋体"/>
        </w:rPr>
      </w:pPr>
      <w:bookmarkStart w:id="7" w:name="_Hlk85390381"/>
      <w:bookmarkStart w:id="8" w:name="_Hlk92533704"/>
      <w:r>
        <w:rPr>
          <w:rFonts w:eastAsia="宋体" w:hint="eastAsia"/>
        </w:rPr>
        <w:t>A</w:t>
      </w:r>
      <w:r>
        <w:rPr>
          <w:rFonts w:eastAsia="宋体"/>
        </w:rPr>
        <w:t xml:space="preserve">ccording to </w:t>
      </w:r>
      <w:r w:rsidR="00F23FE4">
        <w:rPr>
          <w:rFonts w:eastAsia="宋体"/>
        </w:rPr>
        <w:t>RAN#</w:t>
      </w:r>
      <w:r w:rsidR="00FF6FD6">
        <w:rPr>
          <w:rFonts w:eastAsia="宋体"/>
        </w:rPr>
        <w:t>98</w:t>
      </w:r>
      <w:r w:rsidR="00F23FE4">
        <w:rPr>
          <w:rFonts w:eastAsia="宋体"/>
        </w:rPr>
        <w:t xml:space="preserve"> discussion</w:t>
      </w:r>
      <w:r>
        <w:rPr>
          <w:rFonts w:eastAsia="宋体"/>
        </w:rPr>
        <w:t xml:space="preserve">, </w:t>
      </w:r>
      <w:r w:rsidR="003B70E0">
        <w:rPr>
          <w:rFonts w:eastAsia="宋体"/>
        </w:rPr>
        <w:t xml:space="preserve">one objective of the R18 network energy saving </w:t>
      </w:r>
      <w:proofErr w:type="gramStart"/>
      <w:r w:rsidR="003B70E0">
        <w:rPr>
          <w:rFonts w:eastAsia="宋体"/>
        </w:rPr>
        <w:t>WID</w:t>
      </w:r>
      <w:r w:rsidR="00787D5C">
        <w:rPr>
          <w:rFonts w:eastAsia="宋体"/>
        </w:rPr>
        <w:t>[</w:t>
      </w:r>
      <w:proofErr w:type="gramEnd"/>
      <w:r w:rsidR="00787D5C">
        <w:rPr>
          <w:rFonts w:eastAsia="宋体"/>
        </w:rPr>
        <w:t>1]</w:t>
      </w:r>
      <w:r w:rsidR="003B70E0">
        <w:rPr>
          <w:rFonts w:eastAsia="宋体"/>
        </w:rPr>
        <w:t xml:space="preserve"> is the following</w:t>
      </w:r>
      <w:r w:rsidR="00787D5C">
        <w:rPr>
          <w:rFonts w:eastAsia="宋体"/>
        </w:rPr>
        <w:t>:</w:t>
      </w:r>
    </w:p>
    <w:tbl>
      <w:tblPr>
        <w:tblStyle w:val="a7"/>
        <w:tblW w:w="0" w:type="auto"/>
        <w:tblLook w:val="04A0" w:firstRow="1" w:lastRow="0" w:firstColumn="1" w:lastColumn="0" w:noHBand="0" w:noVBand="1"/>
      </w:tblPr>
      <w:tblGrid>
        <w:gridCol w:w="9060"/>
      </w:tblGrid>
      <w:tr w:rsidR="00FF6FD6" w14:paraId="140946EA" w14:textId="77777777" w:rsidTr="00FF6FD6">
        <w:tc>
          <w:tcPr>
            <w:tcW w:w="9060" w:type="dxa"/>
          </w:tcPr>
          <w:p w14:paraId="6EDF9FFB" w14:textId="55D30077" w:rsidR="00FF6FD6" w:rsidRPr="003B70E0" w:rsidRDefault="00FF6FD6" w:rsidP="003F3641">
            <w:pPr>
              <w:widowControl/>
              <w:numPr>
                <w:ilvl w:val="0"/>
                <w:numId w:val="5"/>
              </w:numPr>
              <w:overflowPunct w:val="0"/>
              <w:autoSpaceDE w:val="0"/>
              <w:autoSpaceDN w:val="0"/>
              <w:adjustRightInd w:val="0"/>
              <w:jc w:val="left"/>
              <w:textAlignment w:val="baseline"/>
              <w:rPr>
                <w:bCs/>
                <w:highlight w:val="yellow"/>
              </w:rPr>
            </w:pPr>
            <w:r w:rsidRPr="00FF6FD6">
              <w:rPr>
                <w:bCs/>
                <w:highlight w:val="yellow"/>
              </w:rPr>
              <w:t xml:space="preserve">Specify mechanism(s) to prevent legacy UEs camping on cells adopting the Rel-18 NES techniques, if necessary [RAN2] </w:t>
            </w:r>
          </w:p>
        </w:tc>
      </w:tr>
    </w:tbl>
    <w:bookmarkEnd w:id="7"/>
    <w:bookmarkEnd w:id="8"/>
    <w:p w14:paraId="3C27FE12" w14:textId="72E884D6" w:rsidR="0014467A" w:rsidRPr="0014467A" w:rsidRDefault="00B04D67" w:rsidP="003517C9">
      <w:pPr>
        <w:spacing w:before="120"/>
      </w:pPr>
      <w:r>
        <w:rPr>
          <w:rFonts w:eastAsia="宋体"/>
        </w:rPr>
        <w:t xml:space="preserve">In this contribution, </w:t>
      </w:r>
      <w:r w:rsidR="00787D5C" w:rsidRPr="005612EF">
        <w:t xml:space="preserve">we </w:t>
      </w:r>
      <w:r w:rsidR="00B82787">
        <w:t>provide our consideration</w:t>
      </w:r>
      <w:r w:rsidR="00787D5C">
        <w:t xml:space="preserve"> on</w:t>
      </w:r>
      <w:r w:rsidR="00787D5C" w:rsidRPr="005612EF">
        <w:t xml:space="preserve"> </w:t>
      </w:r>
      <w:r w:rsidR="00787D5C">
        <w:t xml:space="preserve">the technique of </w:t>
      </w:r>
      <w:r w:rsidR="006F7AB6">
        <w:t xml:space="preserve">cell selection/re-selection </w:t>
      </w:r>
      <w:r w:rsidR="00787D5C">
        <w:t>for network energy saving.</w:t>
      </w:r>
      <w:r w:rsidR="00B82787">
        <w:t xml:space="preserve"> </w:t>
      </w:r>
    </w:p>
    <w:p w14:paraId="2F96FEB6" w14:textId="77777777" w:rsidR="00541641" w:rsidRPr="00787D5C" w:rsidRDefault="00541641" w:rsidP="00541641">
      <w:pPr>
        <w:pBdr>
          <w:bottom w:val="single" w:sz="12" w:space="1" w:color="auto"/>
        </w:pBdr>
      </w:pPr>
    </w:p>
    <w:p w14:paraId="02B2C62E" w14:textId="1CD2FA62" w:rsidR="00AC5643" w:rsidRPr="00AC5643" w:rsidRDefault="00541641" w:rsidP="00AC5643">
      <w:pPr>
        <w:pStyle w:val="1"/>
      </w:pPr>
      <w:r>
        <w:t>Discussion</w:t>
      </w:r>
    </w:p>
    <w:p w14:paraId="2BBF1459" w14:textId="4AA3786D" w:rsidR="003517C9" w:rsidRPr="000F731F" w:rsidRDefault="00905F24" w:rsidP="00583C43">
      <w:pPr>
        <w:spacing w:after="180"/>
      </w:pPr>
      <w:r>
        <w:t>During the SI phase of network energy saving, concerns were raised regarding whether there is a need to allow NES cells to prevent legacy UEs from camping f</w:t>
      </w:r>
      <w:r>
        <w:rPr>
          <w:rFonts w:hint="eastAsia"/>
        </w:rPr>
        <w:t>or</w:t>
      </w:r>
      <w:r>
        <w:t xml:space="preserve"> backward compatibility, since l</w:t>
      </w:r>
      <w:r>
        <w:rPr>
          <w:rFonts w:hint="eastAsia"/>
        </w:rPr>
        <w:t>egacy</w:t>
      </w:r>
      <w:r w:rsidRPr="001004C0">
        <w:t xml:space="preserve"> UE</w:t>
      </w:r>
      <w:r>
        <w:t>s</w:t>
      </w:r>
      <w:r w:rsidRPr="001004C0">
        <w:t xml:space="preserve"> </w:t>
      </w:r>
      <w:r>
        <w:t xml:space="preserve">cannot be </w:t>
      </w:r>
      <w:r w:rsidRPr="001004C0">
        <w:t xml:space="preserve">aware of the NES </w:t>
      </w:r>
      <w:r>
        <w:t xml:space="preserve">state of a NES-enabled cell and may suffer from </w:t>
      </w:r>
      <w:r w:rsidRPr="001004C0">
        <w:t>compatibility problem and performance loss</w:t>
      </w:r>
      <w:r>
        <w:t>.</w:t>
      </w:r>
      <w:r w:rsidR="00944B09">
        <w:t xml:space="preserve"> </w:t>
      </w:r>
      <w:r w:rsidR="00944B09">
        <w:rPr>
          <w:rFonts w:hint="eastAsia"/>
        </w:rPr>
        <w:t>How</w:t>
      </w:r>
      <w:r w:rsidR="00944B09">
        <w:t xml:space="preserve">ever, from the objectives of Rel-18 NES WID, </w:t>
      </w:r>
      <w:bookmarkStart w:id="9" w:name="OLE_LINK5"/>
      <w:bookmarkStart w:id="10" w:name="OLE_LINK6"/>
      <w:r w:rsidR="00944B09">
        <w:t>we observe that the potential schemes for energy saving may exert limited</w:t>
      </w:r>
      <w:bookmarkEnd w:id="9"/>
      <w:bookmarkEnd w:id="10"/>
      <w:r w:rsidR="00944B09">
        <w:t xml:space="preserve"> or even no impact to legacy UE</w:t>
      </w:r>
      <w:r w:rsidR="00FF6909">
        <w:t>s</w:t>
      </w:r>
      <w:r w:rsidR="00944B09">
        <w:t>, as stated below:</w:t>
      </w:r>
    </w:p>
    <w:p w14:paraId="5C7C6A81" w14:textId="2B157AFE" w:rsidR="003517C9" w:rsidRPr="00583C43" w:rsidRDefault="003517C9" w:rsidP="00583C43">
      <w:pPr>
        <w:rPr>
          <w:b/>
          <w:u w:val="single"/>
        </w:rPr>
      </w:pPr>
      <w:r w:rsidRPr="00583C43">
        <w:rPr>
          <w:b/>
          <w:u w:val="single"/>
        </w:rPr>
        <w:t xml:space="preserve">SSB-less </w:t>
      </w:r>
      <w:proofErr w:type="spellStart"/>
      <w:r w:rsidRPr="00583C43">
        <w:rPr>
          <w:b/>
          <w:u w:val="single"/>
        </w:rPr>
        <w:t>SCell</w:t>
      </w:r>
      <w:proofErr w:type="spellEnd"/>
      <w:r w:rsidRPr="00583C43">
        <w:rPr>
          <w:b/>
          <w:u w:val="single"/>
        </w:rPr>
        <w:t xml:space="preserve"> operation for inter-band CA</w:t>
      </w:r>
    </w:p>
    <w:p w14:paraId="4E304007" w14:textId="0B7E7B18" w:rsidR="00F969D0" w:rsidRDefault="004D2A1D" w:rsidP="00583C43">
      <w:pPr>
        <w:spacing w:after="180"/>
      </w:pPr>
      <w:r>
        <w:t xml:space="preserve">Currently, </w:t>
      </w:r>
      <w:proofErr w:type="spellStart"/>
      <w:r>
        <w:t>SCell</w:t>
      </w:r>
      <w:proofErr w:type="spellEnd"/>
      <w:r>
        <w:t xml:space="preserve"> can only be configured for UE with CA capability in RRC_CONNECTED state in CA case. For connected UE, SSB-less </w:t>
      </w:r>
      <w:proofErr w:type="spellStart"/>
      <w:r>
        <w:t>SCell</w:t>
      </w:r>
      <w:proofErr w:type="spellEnd"/>
      <w:r>
        <w:t xml:space="preserve"> </w:t>
      </w:r>
      <w:r w:rsidR="00A054B1">
        <w:t xml:space="preserve">is already supported for the intra-band case and the UE capability </w:t>
      </w:r>
      <w:proofErr w:type="spellStart"/>
      <w:r w:rsidR="00A054B1">
        <w:rPr>
          <w:rFonts w:eastAsia="宋体" w:hint="eastAsia"/>
          <w:i/>
          <w:iCs/>
        </w:rPr>
        <w:t>ScellwithoutSSB</w:t>
      </w:r>
      <w:proofErr w:type="spellEnd"/>
      <w:r w:rsidR="00A054B1">
        <w:rPr>
          <w:rFonts w:eastAsia="宋体"/>
          <w:iCs/>
        </w:rPr>
        <w:t xml:space="preserve"> is introduced</w:t>
      </w:r>
      <w:r w:rsidR="00A054B1">
        <w:t xml:space="preserve">. Extend to the inter-band case, a new UE capability may be introduced to indicate to support inter-band </w:t>
      </w:r>
      <w:proofErr w:type="spellStart"/>
      <w:r>
        <w:t>SCell</w:t>
      </w:r>
      <w:proofErr w:type="spellEnd"/>
      <w:r>
        <w:t xml:space="preserve"> </w:t>
      </w:r>
      <w:r w:rsidR="00A054B1">
        <w:t xml:space="preserve">without SSB. </w:t>
      </w:r>
      <w:r>
        <w:t>F</w:t>
      </w:r>
      <w:r w:rsidR="00A054B1">
        <w:t>or legacy UEs that do not support the c</w:t>
      </w:r>
      <w:r w:rsidR="00A054B1" w:rsidRPr="00A054B1">
        <w:t>orresponding</w:t>
      </w:r>
      <w:r w:rsidR="00A054B1">
        <w:t xml:space="preserve"> capability</w:t>
      </w:r>
      <w:r>
        <w:t xml:space="preserve">, the network will not configure inter-band SSB-less </w:t>
      </w:r>
      <w:proofErr w:type="spellStart"/>
      <w:r>
        <w:t>SCell</w:t>
      </w:r>
      <w:proofErr w:type="spellEnd"/>
      <w:r w:rsidR="00A054B1">
        <w:t xml:space="preserve">. </w:t>
      </w:r>
      <w:r w:rsidR="00F969D0" w:rsidRPr="0095086B">
        <w:t xml:space="preserve">Therefore, </w:t>
      </w:r>
      <w:r w:rsidR="00E70842" w:rsidRPr="0095086B">
        <w:t>t</w:t>
      </w:r>
      <w:r w:rsidR="00F969D0" w:rsidRPr="0095086B">
        <w:t>here is no impact for legacy U</w:t>
      </w:r>
      <w:r w:rsidR="00FF6909">
        <w:t>Es</w:t>
      </w:r>
      <w:r w:rsidR="00A054B1">
        <w:t>.</w:t>
      </w:r>
    </w:p>
    <w:p w14:paraId="08441AD0" w14:textId="76F47A9C" w:rsidR="003517C9" w:rsidRPr="00583C43" w:rsidRDefault="003517C9" w:rsidP="00583C43">
      <w:pPr>
        <w:rPr>
          <w:b/>
          <w:u w:val="single"/>
        </w:rPr>
      </w:pPr>
      <w:r w:rsidRPr="00583C43">
        <w:rPr>
          <w:b/>
          <w:u w:val="single"/>
        </w:rPr>
        <w:t>Enhancement on cell DTX/DRX mechanism</w:t>
      </w:r>
    </w:p>
    <w:p w14:paraId="73149065" w14:textId="6F5B7BC2" w:rsidR="00F969D0" w:rsidRPr="00F24370" w:rsidRDefault="00F24370" w:rsidP="00583C43">
      <w:pPr>
        <w:spacing w:after="180"/>
      </w:pPr>
      <w:r w:rsidRPr="00F24370">
        <w:t>The note of enhancement on cell DTX/DRX mechanism</w:t>
      </w:r>
      <w:r>
        <w:t xml:space="preserve"> in WID is the following</w:t>
      </w:r>
      <w:r w:rsidR="0095086B">
        <w:t>:</w:t>
      </w:r>
    </w:p>
    <w:tbl>
      <w:tblPr>
        <w:tblStyle w:val="a7"/>
        <w:tblW w:w="0" w:type="auto"/>
        <w:tblLook w:val="04A0" w:firstRow="1" w:lastRow="0" w:firstColumn="1" w:lastColumn="0" w:noHBand="0" w:noVBand="1"/>
      </w:tblPr>
      <w:tblGrid>
        <w:gridCol w:w="9060"/>
      </w:tblGrid>
      <w:tr w:rsidR="00F969D0" w14:paraId="1662B84B" w14:textId="77777777" w:rsidTr="00F969D0">
        <w:tc>
          <w:tcPr>
            <w:tcW w:w="9060" w:type="dxa"/>
          </w:tcPr>
          <w:p w14:paraId="50A1C936" w14:textId="77777777" w:rsidR="00F969D0" w:rsidRPr="00347FE8" w:rsidRDefault="00F969D0" w:rsidP="003F3641">
            <w:pPr>
              <w:widowControl/>
              <w:numPr>
                <w:ilvl w:val="0"/>
                <w:numId w:val="10"/>
              </w:numPr>
              <w:overflowPunct w:val="0"/>
              <w:autoSpaceDE w:val="0"/>
              <w:autoSpaceDN w:val="0"/>
              <w:adjustRightInd w:val="0"/>
              <w:jc w:val="left"/>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69B10357" w14:textId="77777777" w:rsidR="00F969D0" w:rsidRPr="00347FE8" w:rsidRDefault="00F969D0" w:rsidP="003F3641">
            <w:pPr>
              <w:widowControl/>
              <w:numPr>
                <w:ilvl w:val="0"/>
                <w:numId w:val="6"/>
              </w:numPr>
              <w:overflowPunct w:val="0"/>
              <w:autoSpaceDE w:val="0"/>
              <w:autoSpaceDN w:val="0"/>
              <w:adjustRightInd w:val="0"/>
              <w:spacing w:beforeLines="50" w:before="156" w:afterLines="50" w:after="156"/>
              <w:ind w:left="1049" w:hanging="329"/>
              <w:textAlignment w:val="baseline"/>
              <w:rPr>
                <w:bCs/>
              </w:rPr>
            </w:pPr>
            <w:r w:rsidRPr="00347FE8">
              <w:rPr>
                <w:bCs/>
              </w:rPr>
              <w:t>Note: No change for SSB transmission due to cell DTX/DRX.</w:t>
            </w:r>
          </w:p>
          <w:p w14:paraId="7FAFCD44" w14:textId="4B6DABA1" w:rsidR="00F969D0" w:rsidRPr="00D719CC" w:rsidRDefault="00F969D0" w:rsidP="003F3641">
            <w:pPr>
              <w:widowControl/>
              <w:numPr>
                <w:ilvl w:val="0"/>
                <w:numId w:val="6"/>
              </w:numPr>
              <w:overflowPunct w:val="0"/>
              <w:autoSpaceDE w:val="0"/>
              <w:autoSpaceDN w:val="0"/>
              <w:adjustRightInd w:val="0"/>
              <w:spacing w:beforeLines="50" w:before="156" w:afterLines="50" w:after="156"/>
              <w:ind w:left="1049" w:hanging="329"/>
              <w:textAlignment w:val="baseline"/>
              <w:rPr>
                <w:bCs/>
                <w:highlight w:val="yellow"/>
              </w:rPr>
            </w:pPr>
            <w:r w:rsidRPr="00F969D0">
              <w:rPr>
                <w:bCs/>
                <w:highlight w:val="yellow"/>
              </w:rPr>
              <w:t>Note: The impact to IDLE/INACTIVE UEs due to the above enhancement should be avoided.</w:t>
            </w:r>
          </w:p>
        </w:tc>
      </w:tr>
    </w:tbl>
    <w:p w14:paraId="40BC7084" w14:textId="10990C2A" w:rsidR="00140FD1" w:rsidRDefault="004D2A1D" w:rsidP="00583C43">
      <w:pPr>
        <w:spacing w:after="180"/>
      </w:pPr>
      <w:r>
        <w:t>Based on the note</w:t>
      </w:r>
      <w:r w:rsidR="0095086B">
        <w:t>, there is no effect on legacy idle/inactive UEs.</w:t>
      </w:r>
      <w:r w:rsidR="0095086B">
        <w:rPr>
          <w:rFonts w:hint="eastAsia"/>
        </w:rPr>
        <w:t xml:space="preserve"> </w:t>
      </w:r>
      <w:r w:rsidR="006A7921">
        <w:t>For legacy connected UE</w:t>
      </w:r>
      <w:r w:rsidR="00655D46">
        <w:t>s</w:t>
      </w:r>
      <w:r w:rsidR="006A7921">
        <w:t xml:space="preserve">, </w:t>
      </w:r>
      <w:r w:rsidR="00140FD1">
        <w:t>if</w:t>
      </w:r>
      <w:r w:rsidR="00140FD1" w:rsidRPr="00B81229">
        <w:t xml:space="preserve"> </w:t>
      </w:r>
      <w:proofErr w:type="spellStart"/>
      <w:r w:rsidR="00140FD1" w:rsidRPr="00B81229">
        <w:t>gNB</w:t>
      </w:r>
      <w:proofErr w:type="spellEnd"/>
      <w:r w:rsidR="00140FD1" w:rsidRPr="00B81229">
        <w:t xml:space="preserve"> is expected to turn off transmission/reception for dynamic data traffic (i.e., PDCCH/PUCCH scheduling, PUSCH/PDSCH data), </w:t>
      </w:r>
      <w:r w:rsidR="00140FD1">
        <w:rPr>
          <w:rFonts w:hint="eastAsia"/>
        </w:rPr>
        <w:t>for</w:t>
      </w:r>
      <w:r w:rsidR="00140FD1">
        <w:t xml:space="preserve"> </w:t>
      </w:r>
      <w:r w:rsidR="00140FD1" w:rsidRPr="00B81229">
        <w:t xml:space="preserve">periodic resources (i.e., SPS, CG-PUSCH, SR, RACH) or </w:t>
      </w:r>
      <w:r w:rsidR="00140FD1">
        <w:rPr>
          <w:rFonts w:hint="eastAsia"/>
        </w:rPr>
        <w:t>for</w:t>
      </w:r>
      <w:r w:rsidR="00140FD1">
        <w:t xml:space="preserve"> </w:t>
      </w:r>
      <w:r w:rsidR="00140FD1" w:rsidRPr="00B81229">
        <w:t>reference signal (i.e., CSI-RS)</w:t>
      </w:r>
      <w:r w:rsidR="00140FD1">
        <w:t xml:space="preserve"> during cell DTX/DRX a</w:t>
      </w:r>
      <w:r w:rsidR="00140FD1" w:rsidRPr="00140FD1">
        <w:rPr>
          <w:rFonts w:hint="eastAsia"/>
        </w:rPr>
        <w:t>ctive period</w:t>
      </w:r>
      <w:r w:rsidR="00140FD1">
        <w:t xml:space="preserve">, it </w:t>
      </w:r>
      <w:r w:rsidR="00140FD1" w:rsidRPr="002D2AC3">
        <w:t xml:space="preserve">may cause performance loss to legacy UEs, which depends on the detailed discussion </w:t>
      </w:r>
      <w:r w:rsidR="00140FD1" w:rsidRPr="002D2AC3">
        <w:lastRenderedPageBreak/>
        <w:t>of cell DTX/DRX.</w:t>
      </w:r>
    </w:p>
    <w:p w14:paraId="55C5E7C8" w14:textId="77777777" w:rsidR="003517C9" w:rsidRPr="00583C43" w:rsidRDefault="003517C9" w:rsidP="00583C43">
      <w:pPr>
        <w:rPr>
          <w:b/>
          <w:u w:val="single"/>
        </w:rPr>
      </w:pPr>
      <w:r w:rsidRPr="00583C43">
        <w:rPr>
          <w:b/>
          <w:u w:val="single"/>
        </w:rPr>
        <w:t>Techniques in spatial and power domains</w:t>
      </w:r>
    </w:p>
    <w:p w14:paraId="106F13F5" w14:textId="2142A518" w:rsidR="00EF04DF" w:rsidRPr="00D719CC" w:rsidRDefault="00D719CC" w:rsidP="00583C43">
      <w:pPr>
        <w:spacing w:after="180"/>
      </w:pPr>
      <w:r w:rsidRPr="00583C43">
        <w:t xml:space="preserve">In R18 </w:t>
      </w:r>
      <w:r w:rsidR="00715516">
        <w:t xml:space="preserve">NES </w:t>
      </w:r>
      <w:r w:rsidRPr="00583C43">
        <w:t xml:space="preserve">WI, CSI measurement and report enhancement </w:t>
      </w:r>
      <w:r w:rsidR="00B32BD1" w:rsidRPr="00583C43">
        <w:t xml:space="preserve">are used for </w:t>
      </w:r>
      <w:r w:rsidRPr="00583C43">
        <w:t>dynamically updat</w:t>
      </w:r>
      <w:r w:rsidR="00B32BD1" w:rsidRPr="00583C43">
        <w:t>ing</w:t>
      </w:r>
      <w:r w:rsidRPr="00583C43">
        <w:t xml:space="preserve"> with the spatial element adaptation or power adaptation</w:t>
      </w:r>
      <w:r w:rsidR="004247B5">
        <w:t xml:space="preserve">, which </w:t>
      </w:r>
      <w:r w:rsidR="003517C9" w:rsidRPr="00925F86">
        <w:rPr>
          <w:rFonts w:hint="eastAsia"/>
        </w:rPr>
        <w:t>only support RRC configuration for connected UE.</w:t>
      </w:r>
      <w:r>
        <w:t xml:space="preserve"> Therefore, t</w:t>
      </w:r>
      <w:r w:rsidRPr="00D719CC">
        <w:t xml:space="preserve">here is no </w:t>
      </w:r>
      <w:r w:rsidR="00715516">
        <w:t>effect on legacy idle/</w:t>
      </w:r>
      <w:r w:rsidR="00715516">
        <w:rPr>
          <w:rFonts w:hint="eastAsia"/>
        </w:rPr>
        <w:t>inactive</w:t>
      </w:r>
      <w:r w:rsidR="00715516">
        <w:t xml:space="preserve"> </w:t>
      </w:r>
      <w:r w:rsidR="00715516">
        <w:rPr>
          <w:rFonts w:hint="eastAsia"/>
        </w:rPr>
        <w:t>UEs</w:t>
      </w:r>
      <w:r w:rsidR="00715516">
        <w:t xml:space="preserve">. For legacy connected UE, </w:t>
      </w:r>
      <w:r w:rsidR="00715516">
        <w:rPr>
          <w:szCs w:val="20"/>
        </w:rPr>
        <w:t>d</w:t>
      </w:r>
      <w:r w:rsidR="00715516" w:rsidRPr="005C6A81">
        <w:rPr>
          <w:szCs w:val="20"/>
        </w:rPr>
        <w:t>ynamic adaptation</w:t>
      </w:r>
      <w:r w:rsidR="00715516" w:rsidRPr="00A02E69">
        <w:rPr>
          <w:szCs w:val="20"/>
        </w:rPr>
        <w:t xml:space="preserve"> of the spatial elements and power offset may result that the already configured CSI measurement resources are inconsistent with the actual transmission of the CSI-RS</w:t>
      </w:r>
      <w:r w:rsidR="00EF04DF">
        <w:rPr>
          <w:szCs w:val="20"/>
        </w:rPr>
        <w:t>, which is unfavorable for UE power saving and may cause UEs to report the wrong measurement results</w:t>
      </w:r>
      <w:r w:rsidR="004247B5">
        <w:rPr>
          <w:szCs w:val="20"/>
        </w:rPr>
        <w:t xml:space="preserve"> </w:t>
      </w:r>
      <w:r w:rsidR="004247B5" w:rsidRPr="004247B5">
        <w:rPr>
          <w:szCs w:val="20"/>
        </w:rPr>
        <w:t>causing performance loss to UE</w:t>
      </w:r>
      <w:r w:rsidR="004247B5">
        <w:rPr>
          <w:szCs w:val="20"/>
        </w:rPr>
        <w:t>s</w:t>
      </w:r>
      <w:r w:rsidR="00140FD1">
        <w:rPr>
          <w:szCs w:val="20"/>
        </w:rPr>
        <w:t>. O</w:t>
      </w:r>
      <w:r w:rsidR="00140FD1" w:rsidRPr="00140FD1">
        <w:rPr>
          <w:szCs w:val="20"/>
        </w:rPr>
        <w:t>ther specific impacts depend on more detailed discussions</w:t>
      </w:r>
      <w:r w:rsidR="00140FD1">
        <w:rPr>
          <w:szCs w:val="20"/>
        </w:rPr>
        <w:t>.</w:t>
      </w:r>
    </w:p>
    <w:p w14:paraId="414AA44F" w14:textId="7C002326" w:rsidR="006A7921" w:rsidRPr="00583C43" w:rsidRDefault="006A7921" w:rsidP="003517C9">
      <w:pPr>
        <w:rPr>
          <w:b/>
          <w:u w:val="single"/>
        </w:rPr>
      </w:pPr>
      <w:r w:rsidRPr="00583C43">
        <w:rPr>
          <w:b/>
          <w:u w:val="single"/>
        </w:rPr>
        <w:t>CHO procedure enhancement</w:t>
      </w:r>
    </w:p>
    <w:p w14:paraId="5860EE5F" w14:textId="0E434CA1" w:rsidR="006A7921" w:rsidRDefault="006A7921" w:rsidP="00583C43">
      <w:pPr>
        <w:spacing w:after="180"/>
      </w:pPr>
      <w:r>
        <w:t>T</w:t>
      </w:r>
      <w:r w:rsidRPr="006A7921">
        <w:t xml:space="preserve">he CHO </w:t>
      </w:r>
      <w:r>
        <w:t>procedure in Rel-18</w:t>
      </w:r>
      <w:r w:rsidRPr="00583C43">
        <w:t xml:space="preserve"> NES WID</w:t>
      </w:r>
      <w:r w:rsidRPr="006A7921">
        <w:t xml:space="preserve"> </w:t>
      </w:r>
      <w:r>
        <w:t xml:space="preserve">is only an enhancement </w:t>
      </w:r>
      <w:r w:rsidRPr="006A7921">
        <w:t>for NES capab</w:t>
      </w:r>
      <w:r>
        <w:t>le UEs</w:t>
      </w:r>
      <w:r w:rsidR="007F2716">
        <w:t xml:space="preserve"> in RRC_CONNECTED state</w:t>
      </w:r>
      <w:r w:rsidRPr="006A7921">
        <w:t xml:space="preserve">, </w:t>
      </w:r>
      <w:r>
        <w:t>so it</w:t>
      </w:r>
      <w:r w:rsidRPr="006A7921">
        <w:t xml:space="preserve"> has no effect on legacy UEs.</w:t>
      </w:r>
    </w:p>
    <w:p w14:paraId="1E9F68E0" w14:textId="734D2AA5" w:rsidR="006A7921" w:rsidRDefault="006A7921" w:rsidP="003517C9">
      <w:pPr>
        <w:rPr>
          <w:b/>
          <w:u w:val="single"/>
        </w:rPr>
      </w:pPr>
      <w:r>
        <w:rPr>
          <w:b/>
          <w:u w:val="single"/>
        </w:rPr>
        <w:t>I</w:t>
      </w:r>
      <w:r w:rsidRPr="00583C43">
        <w:rPr>
          <w:b/>
          <w:u w:val="single"/>
        </w:rPr>
        <w:t xml:space="preserve">nter-node beam activation and </w:t>
      </w:r>
      <w:r>
        <w:rPr>
          <w:b/>
          <w:u w:val="single"/>
        </w:rPr>
        <w:t xml:space="preserve">paging </w:t>
      </w:r>
      <w:r w:rsidRPr="00583C43">
        <w:rPr>
          <w:b/>
          <w:u w:val="single"/>
        </w:rPr>
        <w:t>enhancements</w:t>
      </w:r>
    </w:p>
    <w:p w14:paraId="6DEEA2D9" w14:textId="5C811547" w:rsidR="006A7921" w:rsidRDefault="006A7921" w:rsidP="00583C43">
      <w:pPr>
        <w:spacing w:after="180"/>
      </w:pPr>
      <w:r>
        <w:t xml:space="preserve">Inter-node beam activation </w:t>
      </w:r>
      <w:r w:rsidR="00FF6909">
        <w:t>allows an NG-RAN n</w:t>
      </w:r>
      <w:r w:rsidR="00481EE1">
        <w:t>o</w:t>
      </w:r>
      <w:r w:rsidR="00FF6909">
        <w:t xml:space="preserve">de to request a </w:t>
      </w:r>
      <w:proofErr w:type="spellStart"/>
      <w:r w:rsidR="00FF6909">
        <w:t>neighbouring</w:t>
      </w:r>
      <w:proofErr w:type="spellEnd"/>
      <w:r w:rsidR="00FF6909">
        <w:t xml:space="preserve"> NG-RAN node to re-activate SSB beams that are deactivated, which </w:t>
      </w:r>
      <w:r w:rsidR="005158A4">
        <w:t>only</w:t>
      </w:r>
      <w:r w:rsidR="00C75213" w:rsidRPr="00583C43">
        <w:t xml:space="preserve"> </w:t>
      </w:r>
      <w:r w:rsidR="005158A4">
        <w:t>has</w:t>
      </w:r>
      <w:r w:rsidR="00C75213" w:rsidRPr="00583C43">
        <w:t xml:space="preserve"> impact on network interfaces.</w:t>
      </w:r>
      <w:r w:rsidR="0065466B">
        <w:t xml:space="preserve"> </w:t>
      </w:r>
      <w:r w:rsidR="00A54768">
        <w:t>Paging enhancement allows an NG-RAN node to page UEs in certain SSB(s) instead of all the SSBs within a cell</w:t>
      </w:r>
      <w:r w:rsidR="0065466B">
        <w:t xml:space="preserve"> based on the </w:t>
      </w:r>
      <w:proofErr w:type="spellStart"/>
      <w:r w:rsidR="0065466B">
        <w:t>g</w:t>
      </w:r>
      <w:r w:rsidR="0065466B">
        <w:rPr>
          <w:rFonts w:hint="eastAsia"/>
        </w:rPr>
        <w:t>NB</w:t>
      </w:r>
      <w:proofErr w:type="spellEnd"/>
      <w:r w:rsidR="0065466B">
        <w:t>-</w:t>
      </w:r>
      <w:r w:rsidR="0065466B">
        <w:rPr>
          <w:rFonts w:hint="eastAsia"/>
        </w:rPr>
        <w:t>DU</w:t>
      </w:r>
      <w:r w:rsidR="0065466B">
        <w:t xml:space="preserve"> </w:t>
      </w:r>
      <w:r w:rsidR="0065466B">
        <w:rPr>
          <w:rFonts w:hint="eastAsia"/>
        </w:rPr>
        <w:t>position</w:t>
      </w:r>
      <w:r w:rsidR="0065466B">
        <w:t xml:space="preserve"> </w:t>
      </w:r>
      <w:r w:rsidR="0065466B">
        <w:rPr>
          <w:rFonts w:hint="eastAsia"/>
        </w:rPr>
        <w:t>evaluation</w:t>
      </w:r>
      <w:r w:rsidR="0065466B">
        <w:t xml:space="preserve"> for UEs, which includes legacy UEs and NES capable UEs. Therefore, there is no impact for legacy UEs</w:t>
      </w:r>
      <w:r w:rsidR="00FF6909">
        <w:rPr>
          <w:rFonts w:hint="eastAsia"/>
        </w:rPr>
        <w:t>.</w:t>
      </w:r>
    </w:p>
    <w:p w14:paraId="178AFB66" w14:textId="6E638EC5" w:rsidR="004D7F88" w:rsidRPr="002D2AC3" w:rsidRDefault="004D7F88" w:rsidP="004D7F88">
      <w:pPr>
        <w:pStyle w:val="a8"/>
        <w:numPr>
          <w:ilvl w:val="0"/>
          <w:numId w:val="2"/>
        </w:numPr>
        <w:ind w:left="1701" w:hanging="1701"/>
      </w:pPr>
      <w:r>
        <w:rPr>
          <w:b/>
          <w:szCs w:val="20"/>
        </w:rPr>
        <w:t>T</w:t>
      </w:r>
      <w:r w:rsidRPr="00715516">
        <w:rPr>
          <w:b/>
          <w:szCs w:val="20"/>
        </w:rPr>
        <w:t>he R</w:t>
      </w:r>
      <w:r>
        <w:rPr>
          <w:b/>
          <w:szCs w:val="20"/>
        </w:rPr>
        <w:t>el-</w:t>
      </w:r>
      <w:r w:rsidRPr="00715516">
        <w:rPr>
          <w:b/>
          <w:szCs w:val="20"/>
        </w:rPr>
        <w:t>18 NES technique</w:t>
      </w:r>
      <w:r>
        <w:rPr>
          <w:b/>
          <w:szCs w:val="20"/>
        </w:rPr>
        <w:t>s</w:t>
      </w:r>
      <w:r w:rsidRPr="00583C43">
        <w:rPr>
          <w:b/>
          <w:szCs w:val="20"/>
        </w:rPr>
        <w:t xml:space="preserve"> are designed for </w:t>
      </w:r>
      <w:r>
        <w:rPr>
          <w:b/>
          <w:szCs w:val="20"/>
        </w:rPr>
        <w:t xml:space="preserve">RRC_CONNECTED </w:t>
      </w:r>
      <w:r w:rsidRPr="00583C43">
        <w:rPr>
          <w:b/>
          <w:szCs w:val="20"/>
        </w:rPr>
        <w:t>UEs</w:t>
      </w:r>
      <w:r w:rsidR="00140FD1">
        <w:rPr>
          <w:b/>
          <w:szCs w:val="20"/>
        </w:rPr>
        <w:t xml:space="preserve"> e</w:t>
      </w:r>
      <w:r w:rsidR="00140FD1" w:rsidRPr="00140FD1">
        <w:rPr>
          <w:b/>
          <w:szCs w:val="20"/>
        </w:rPr>
        <w:t>xcept for</w:t>
      </w:r>
      <w:r w:rsidR="00140FD1">
        <w:rPr>
          <w:b/>
          <w:szCs w:val="20"/>
        </w:rPr>
        <w:t xml:space="preserve"> the techniques of i</w:t>
      </w:r>
      <w:r w:rsidR="00140FD1" w:rsidRPr="002D2AC3">
        <w:rPr>
          <w:b/>
          <w:szCs w:val="20"/>
        </w:rPr>
        <w:t>nter-node beam activation and paging enhancement</w:t>
      </w:r>
      <w:r>
        <w:rPr>
          <w:b/>
          <w:szCs w:val="20"/>
        </w:rPr>
        <w:t xml:space="preserve">. </w:t>
      </w:r>
      <w:r w:rsidR="00140FD1">
        <w:rPr>
          <w:b/>
          <w:szCs w:val="20"/>
        </w:rPr>
        <w:t>But t</w:t>
      </w:r>
      <w:r w:rsidRPr="00715516">
        <w:rPr>
          <w:b/>
          <w:szCs w:val="20"/>
        </w:rPr>
        <w:t xml:space="preserve">here is no impact for legacy </w:t>
      </w:r>
      <w:r>
        <w:rPr>
          <w:b/>
          <w:szCs w:val="20"/>
        </w:rPr>
        <w:t xml:space="preserve">idle/inactive </w:t>
      </w:r>
      <w:r w:rsidRPr="00715516">
        <w:rPr>
          <w:b/>
          <w:szCs w:val="20"/>
        </w:rPr>
        <w:t>UE</w:t>
      </w:r>
      <w:r>
        <w:rPr>
          <w:b/>
          <w:szCs w:val="20"/>
        </w:rPr>
        <w:t>s</w:t>
      </w:r>
      <w:r w:rsidRPr="00715516">
        <w:rPr>
          <w:b/>
          <w:szCs w:val="20"/>
        </w:rPr>
        <w:t xml:space="preserve"> </w:t>
      </w:r>
      <w:r>
        <w:rPr>
          <w:b/>
          <w:szCs w:val="20"/>
        </w:rPr>
        <w:t>camping on cell</w:t>
      </w:r>
      <w:r w:rsidRPr="00715516">
        <w:rPr>
          <w:b/>
          <w:szCs w:val="20"/>
        </w:rPr>
        <w:t xml:space="preserve"> adopting the R</w:t>
      </w:r>
      <w:r>
        <w:rPr>
          <w:b/>
          <w:szCs w:val="20"/>
        </w:rPr>
        <w:t>el-</w:t>
      </w:r>
      <w:r w:rsidRPr="00715516">
        <w:rPr>
          <w:b/>
          <w:szCs w:val="20"/>
        </w:rPr>
        <w:t>18 NES technique</w:t>
      </w:r>
      <w:r>
        <w:rPr>
          <w:b/>
          <w:szCs w:val="20"/>
        </w:rPr>
        <w:t>s</w:t>
      </w:r>
      <w:r w:rsidRPr="00715516">
        <w:rPr>
          <w:b/>
          <w:szCs w:val="20"/>
        </w:rPr>
        <w:t>.</w:t>
      </w:r>
    </w:p>
    <w:p w14:paraId="12FC951D" w14:textId="27A37EA6" w:rsidR="00140FD1" w:rsidRPr="002D2AC3" w:rsidRDefault="00140FD1" w:rsidP="002D2AC3">
      <w:pPr>
        <w:pStyle w:val="a8"/>
        <w:numPr>
          <w:ilvl w:val="0"/>
          <w:numId w:val="2"/>
        </w:numPr>
        <w:ind w:left="1701" w:hanging="1701"/>
        <w:rPr>
          <w:rFonts w:eastAsiaTheme="minorEastAsia"/>
          <w:b/>
          <w:lang w:eastAsia="zh-CN"/>
        </w:rPr>
      </w:pPr>
      <w:r w:rsidRPr="002D2AC3">
        <w:rPr>
          <w:rFonts w:eastAsiaTheme="minorEastAsia"/>
          <w:b/>
          <w:lang w:eastAsia="zh-CN"/>
        </w:rPr>
        <w:t>For legacy UEs in RRC_CONNECTED state, cell DTX/DRX and techniques in spatial and power domains may cause performance loss to legacy UEs, which depends on the detailed discussion of these mechanism</w:t>
      </w:r>
      <w:r>
        <w:rPr>
          <w:rFonts w:eastAsiaTheme="minorEastAsia"/>
          <w:b/>
          <w:lang w:eastAsia="zh-CN"/>
        </w:rPr>
        <w:t>.</w:t>
      </w:r>
    </w:p>
    <w:p w14:paraId="6DD93014" w14:textId="697426BC" w:rsidR="00226B36" w:rsidRDefault="00B974CD" w:rsidP="007F2716">
      <w:pPr>
        <w:spacing w:after="180"/>
      </w:pPr>
      <w:r>
        <w:t>Based on the above observation, legacy idle/inactive UEs can camp on the cell adopting the Rel-18 NES tech</w:t>
      </w:r>
      <w:r w:rsidR="00481EE1">
        <w:t>n</w:t>
      </w:r>
      <w:r>
        <w:t xml:space="preserve">iques </w:t>
      </w:r>
      <w:r w:rsidRPr="00B974CD">
        <w:t>normally</w:t>
      </w:r>
      <w:r>
        <w:t xml:space="preserve">. </w:t>
      </w:r>
      <w:r w:rsidR="00226B36">
        <w:rPr>
          <w:rFonts w:hint="eastAsia"/>
        </w:rPr>
        <w:t>T</w:t>
      </w:r>
      <w:r w:rsidR="00226B36">
        <w:t>here two options for idle</w:t>
      </w:r>
      <w:r w:rsidR="00FF7058">
        <w:t>/inactive</w:t>
      </w:r>
      <w:r w:rsidR="00226B36">
        <w:t xml:space="preserve"> </w:t>
      </w:r>
      <w:r w:rsidR="00FF7058">
        <w:t xml:space="preserve">UE </w:t>
      </w:r>
      <w:r w:rsidR="00226B36">
        <w:t>camping R18 NES cell.</w:t>
      </w:r>
    </w:p>
    <w:p w14:paraId="1F977E54" w14:textId="00400958" w:rsidR="00226B36" w:rsidRPr="005C385D" w:rsidRDefault="00226B36" w:rsidP="007F2716">
      <w:pPr>
        <w:spacing w:after="180"/>
        <w:rPr>
          <w:b/>
        </w:rPr>
      </w:pPr>
      <w:r w:rsidRPr="005C385D">
        <w:rPr>
          <w:b/>
        </w:rPr>
        <w:t>Option1: without bar enhancement for R18 NES cell</w:t>
      </w:r>
    </w:p>
    <w:p w14:paraId="0F3519A1" w14:textId="0D55A7D2" w:rsidR="00226B36" w:rsidRPr="002D2AC3" w:rsidRDefault="00226B36" w:rsidP="00226B36">
      <w:pPr>
        <w:pStyle w:val="aa"/>
        <w:numPr>
          <w:ilvl w:val="0"/>
          <w:numId w:val="11"/>
        </w:numPr>
        <w:ind w:firstLineChars="0"/>
        <w:rPr>
          <w:rFonts w:ascii="Times New Roman" w:eastAsiaTheme="minorEastAsia" w:hAnsi="Times New Roman" w:cstheme="minorBidi"/>
          <w:sz w:val="20"/>
          <w:szCs w:val="21"/>
        </w:rPr>
      </w:pPr>
      <w:r w:rsidRPr="002D2AC3">
        <w:rPr>
          <w:rFonts w:ascii="Times New Roman" w:eastAsiaTheme="minorEastAsia" w:hAnsi="Times New Roman" w:cstheme="minorBidi"/>
          <w:b/>
          <w:sz w:val="20"/>
          <w:szCs w:val="21"/>
        </w:rPr>
        <w:t xml:space="preserve">Case </w:t>
      </w:r>
      <w:r w:rsidR="00F66618">
        <w:rPr>
          <w:rFonts w:ascii="Times New Roman" w:eastAsiaTheme="minorEastAsia" w:hAnsi="Times New Roman" w:cstheme="minorBidi"/>
          <w:b/>
          <w:sz w:val="20"/>
          <w:szCs w:val="21"/>
        </w:rPr>
        <w:t>1</w:t>
      </w:r>
      <w:r w:rsidR="00F66618">
        <w:rPr>
          <w:rFonts w:ascii="Times New Roman" w:eastAsiaTheme="minorEastAsia" w:hAnsi="Times New Roman" w:cstheme="minorBidi" w:hint="eastAsia"/>
          <w:b/>
          <w:sz w:val="20"/>
          <w:szCs w:val="21"/>
        </w:rPr>
        <w:t>.</w:t>
      </w:r>
      <w:r w:rsidRPr="002D2AC3">
        <w:rPr>
          <w:rFonts w:ascii="Times New Roman" w:eastAsiaTheme="minorEastAsia" w:hAnsi="Times New Roman" w:cstheme="minorBidi"/>
          <w:b/>
          <w:sz w:val="20"/>
          <w:szCs w:val="21"/>
        </w:rPr>
        <w:t>1</w:t>
      </w:r>
      <w:r w:rsidRPr="002D2AC3">
        <w:rPr>
          <w:rFonts w:ascii="Times New Roman" w:eastAsiaTheme="minorEastAsia" w:hAnsi="Times New Roman" w:cstheme="minorBidi"/>
          <w:sz w:val="20"/>
          <w:szCs w:val="21"/>
        </w:rPr>
        <w:t xml:space="preserve">: </w:t>
      </w:r>
      <w:r>
        <w:rPr>
          <w:rFonts w:ascii="Times New Roman" w:eastAsiaTheme="minorEastAsia" w:hAnsi="Times New Roman" w:cstheme="minorBidi"/>
          <w:sz w:val="20"/>
          <w:szCs w:val="21"/>
        </w:rPr>
        <w:t xml:space="preserve">bar all </w:t>
      </w:r>
      <w:r w:rsidR="00FF7058" w:rsidRPr="005C385D">
        <w:rPr>
          <w:rFonts w:ascii="Times New Roman" w:eastAsiaTheme="minorEastAsia" w:hAnsi="Times New Roman" w:cstheme="minorBidi"/>
          <w:sz w:val="20"/>
          <w:szCs w:val="21"/>
        </w:rPr>
        <w:t>idle/inactive</w:t>
      </w:r>
      <w:r>
        <w:rPr>
          <w:rFonts w:ascii="Times New Roman" w:eastAsiaTheme="minorEastAsia" w:hAnsi="Times New Roman" w:cstheme="minorBidi"/>
          <w:sz w:val="20"/>
          <w:szCs w:val="21"/>
        </w:rPr>
        <w:t xml:space="preserve"> UE, i.e., R18 NES UE and legacy UE, the network only handovers UEs to a normal cell</w:t>
      </w:r>
    </w:p>
    <w:p w14:paraId="0324E380" w14:textId="4DEF3102" w:rsidR="00226B36" w:rsidRDefault="00226B36" w:rsidP="00226B36">
      <w:pPr>
        <w:pStyle w:val="aa"/>
        <w:numPr>
          <w:ilvl w:val="0"/>
          <w:numId w:val="11"/>
        </w:numPr>
        <w:ind w:firstLineChars="0"/>
        <w:rPr>
          <w:rFonts w:ascii="Times New Roman" w:eastAsiaTheme="minorEastAsia" w:hAnsi="Times New Roman" w:cstheme="minorBidi"/>
          <w:sz w:val="20"/>
          <w:szCs w:val="21"/>
        </w:rPr>
      </w:pPr>
      <w:r w:rsidRPr="002D2AC3">
        <w:rPr>
          <w:rFonts w:ascii="Times New Roman" w:eastAsiaTheme="minorEastAsia" w:hAnsi="Times New Roman" w:cstheme="minorBidi"/>
          <w:b/>
          <w:sz w:val="20"/>
          <w:szCs w:val="21"/>
        </w:rPr>
        <w:t xml:space="preserve">Case </w:t>
      </w:r>
      <w:r w:rsidR="00F66618">
        <w:rPr>
          <w:rFonts w:ascii="Times New Roman" w:eastAsiaTheme="minorEastAsia" w:hAnsi="Times New Roman" w:cstheme="minorBidi"/>
          <w:b/>
          <w:sz w:val="20"/>
          <w:szCs w:val="21"/>
        </w:rPr>
        <w:t>1.</w:t>
      </w:r>
      <w:r w:rsidRPr="002D2AC3">
        <w:rPr>
          <w:rFonts w:ascii="Times New Roman" w:eastAsiaTheme="minorEastAsia" w:hAnsi="Times New Roman" w:cstheme="minorBidi"/>
          <w:b/>
          <w:sz w:val="20"/>
          <w:szCs w:val="21"/>
        </w:rPr>
        <w:t>2</w:t>
      </w:r>
      <w:r>
        <w:rPr>
          <w:rFonts w:ascii="Times New Roman" w:eastAsiaTheme="minorEastAsia" w:hAnsi="Times New Roman" w:cstheme="minorBidi"/>
          <w:sz w:val="20"/>
          <w:szCs w:val="21"/>
        </w:rPr>
        <w:t>: without bar</w:t>
      </w:r>
      <w:r w:rsidR="00F66618">
        <w:rPr>
          <w:rFonts w:ascii="Times New Roman" w:eastAsiaTheme="minorEastAsia" w:hAnsi="Times New Roman" w:cstheme="minorBidi"/>
          <w:sz w:val="20"/>
          <w:szCs w:val="21"/>
        </w:rPr>
        <w:t xml:space="preserve">, i.e., allow both R18 NES UE and legacy </w:t>
      </w:r>
      <w:r w:rsidR="00FF7058" w:rsidRPr="005C385D">
        <w:rPr>
          <w:rFonts w:ascii="Times New Roman" w:eastAsiaTheme="minorEastAsia" w:hAnsi="Times New Roman" w:cstheme="minorBidi"/>
          <w:sz w:val="20"/>
          <w:szCs w:val="21"/>
        </w:rPr>
        <w:t>idle/inactive</w:t>
      </w:r>
      <w:r w:rsidR="00FF7058">
        <w:rPr>
          <w:rFonts w:ascii="Times New Roman" w:eastAsiaTheme="minorEastAsia" w:hAnsi="Times New Roman" w:cstheme="minorBidi"/>
          <w:sz w:val="20"/>
          <w:szCs w:val="21"/>
        </w:rPr>
        <w:t xml:space="preserve"> </w:t>
      </w:r>
      <w:r w:rsidR="00F66618">
        <w:rPr>
          <w:rFonts w:ascii="Times New Roman" w:eastAsiaTheme="minorEastAsia" w:hAnsi="Times New Roman" w:cstheme="minorBidi"/>
          <w:sz w:val="20"/>
          <w:szCs w:val="21"/>
        </w:rPr>
        <w:t>UE camping</w:t>
      </w:r>
    </w:p>
    <w:p w14:paraId="3C0C99C3" w14:textId="7D10CD62" w:rsidR="00226B36" w:rsidRPr="005C385D" w:rsidRDefault="00226B36" w:rsidP="007F2716">
      <w:pPr>
        <w:spacing w:after="180"/>
        <w:rPr>
          <w:b/>
        </w:rPr>
      </w:pPr>
      <w:r w:rsidRPr="005C385D">
        <w:rPr>
          <w:b/>
        </w:rPr>
        <w:t xml:space="preserve">Option2: </w:t>
      </w:r>
      <w:r w:rsidR="00F66618" w:rsidRPr="005C385D">
        <w:rPr>
          <w:b/>
        </w:rPr>
        <w:t xml:space="preserve">R18 bar enhancement, i.e., </w:t>
      </w:r>
      <w:r w:rsidRPr="005C385D">
        <w:rPr>
          <w:b/>
        </w:rPr>
        <w:t>legacy UE bar only for R18 NES cell</w:t>
      </w:r>
    </w:p>
    <w:p w14:paraId="691C6F36" w14:textId="4147E8D4" w:rsidR="00CF682E" w:rsidRPr="002D2AC3" w:rsidRDefault="00CF682E" w:rsidP="002D2AC3">
      <w:pPr>
        <w:pStyle w:val="aa"/>
        <w:numPr>
          <w:ilvl w:val="0"/>
          <w:numId w:val="11"/>
        </w:numPr>
        <w:ind w:firstLineChars="0"/>
        <w:rPr>
          <w:rFonts w:ascii="Times New Roman" w:eastAsiaTheme="minorEastAsia" w:hAnsi="Times New Roman" w:cstheme="minorBidi"/>
          <w:sz w:val="20"/>
          <w:szCs w:val="21"/>
        </w:rPr>
      </w:pPr>
      <w:r w:rsidRPr="002D2AC3">
        <w:rPr>
          <w:rFonts w:ascii="Times New Roman" w:eastAsiaTheme="minorEastAsia" w:hAnsi="Times New Roman" w:cstheme="minorBidi"/>
          <w:b/>
          <w:sz w:val="20"/>
          <w:szCs w:val="21"/>
        </w:rPr>
        <w:t xml:space="preserve">Case </w:t>
      </w:r>
      <w:r w:rsidR="00F66618">
        <w:rPr>
          <w:rFonts w:ascii="Times New Roman" w:eastAsiaTheme="minorEastAsia" w:hAnsi="Times New Roman" w:cstheme="minorBidi"/>
          <w:b/>
          <w:sz w:val="20"/>
          <w:szCs w:val="21"/>
        </w:rPr>
        <w:t>2.</w:t>
      </w:r>
      <w:r w:rsidRPr="002D2AC3">
        <w:rPr>
          <w:rFonts w:ascii="Times New Roman" w:eastAsiaTheme="minorEastAsia" w:hAnsi="Times New Roman" w:cstheme="minorBidi"/>
          <w:b/>
          <w:sz w:val="20"/>
          <w:szCs w:val="21"/>
        </w:rPr>
        <w:t>1</w:t>
      </w:r>
      <w:r w:rsidRPr="002D2AC3">
        <w:rPr>
          <w:rFonts w:ascii="Times New Roman" w:eastAsiaTheme="minorEastAsia" w:hAnsi="Times New Roman" w:cstheme="minorBidi"/>
          <w:sz w:val="20"/>
          <w:szCs w:val="21"/>
        </w:rPr>
        <w:t xml:space="preserve">: </w:t>
      </w:r>
      <w:r w:rsidR="00F66618">
        <w:rPr>
          <w:rFonts w:ascii="Times New Roman" w:eastAsiaTheme="minorEastAsia" w:hAnsi="Times New Roman" w:cstheme="minorBidi"/>
          <w:sz w:val="20"/>
          <w:szCs w:val="21"/>
        </w:rPr>
        <w:t>bar legacy UE only for R18 NES cell</w:t>
      </w:r>
    </w:p>
    <w:p w14:paraId="539BE2BA" w14:textId="77777777" w:rsidR="00CF682E" w:rsidRPr="002D2AC3" w:rsidRDefault="00CF682E" w:rsidP="002D2AC3">
      <w:pPr>
        <w:pStyle w:val="aa"/>
        <w:ind w:left="420" w:firstLineChars="0" w:firstLine="0"/>
        <w:rPr>
          <w:rFonts w:ascii="Times New Roman" w:eastAsiaTheme="minorEastAsia" w:hAnsi="Times New Roman" w:cstheme="minorBidi"/>
          <w:sz w:val="20"/>
          <w:szCs w:val="21"/>
        </w:rPr>
      </w:pPr>
    </w:p>
    <w:tbl>
      <w:tblPr>
        <w:tblStyle w:val="a7"/>
        <w:tblW w:w="0" w:type="auto"/>
        <w:tblLook w:val="04A0" w:firstRow="1" w:lastRow="0" w:firstColumn="1" w:lastColumn="0" w:noHBand="0" w:noVBand="1"/>
      </w:tblPr>
      <w:tblGrid>
        <w:gridCol w:w="1413"/>
        <w:gridCol w:w="3544"/>
        <w:gridCol w:w="4103"/>
      </w:tblGrid>
      <w:tr w:rsidR="00CF682E" w14:paraId="53AB7D1A" w14:textId="77777777" w:rsidTr="00295C20">
        <w:tc>
          <w:tcPr>
            <w:tcW w:w="1413" w:type="dxa"/>
          </w:tcPr>
          <w:p w14:paraId="538B64D8" w14:textId="63B2B43B" w:rsidR="00CF682E" w:rsidRDefault="00CF682E" w:rsidP="00295C20">
            <w:pPr>
              <w:pStyle w:val="a8"/>
              <w:rPr>
                <w:rFonts w:eastAsiaTheme="minorEastAsia"/>
                <w:lang w:val="en-GB" w:eastAsia="zh-CN"/>
              </w:rPr>
            </w:pPr>
            <w:r>
              <w:rPr>
                <w:rFonts w:eastAsiaTheme="minorEastAsia"/>
                <w:lang w:val="en-GB" w:eastAsia="zh-CN"/>
              </w:rPr>
              <w:t>Cases</w:t>
            </w:r>
          </w:p>
        </w:tc>
        <w:tc>
          <w:tcPr>
            <w:tcW w:w="3544" w:type="dxa"/>
          </w:tcPr>
          <w:p w14:paraId="25A88B7C" w14:textId="77777777" w:rsidR="00CF682E" w:rsidRDefault="00CF682E" w:rsidP="00295C20">
            <w:pPr>
              <w:pStyle w:val="a8"/>
              <w:rPr>
                <w:rFonts w:eastAsiaTheme="minorEastAsia"/>
                <w:lang w:val="en-GB" w:eastAsia="zh-CN"/>
              </w:rPr>
            </w:pPr>
            <w:r>
              <w:rPr>
                <w:rFonts w:eastAsiaTheme="minorEastAsia" w:hint="eastAsia"/>
                <w:lang w:val="en-GB" w:eastAsia="zh-CN"/>
              </w:rPr>
              <w:t>P</w:t>
            </w:r>
            <w:r>
              <w:rPr>
                <w:rFonts w:eastAsiaTheme="minorEastAsia"/>
                <w:lang w:val="en-GB" w:eastAsia="zh-CN"/>
              </w:rPr>
              <w:t>ros.</w:t>
            </w:r>
          </w:p>
        </w:tc>
        <w:tc>
          <w:tcPr>
            <w:tcW w:w="4103" w:type="dxa"/>
          </w:tcPr>
          <w:p w14:paraId="4DFBE5CB" w14:textId="77777777" w:rsidR="00CF682E" w:rsidRDefault="00CF682E" w:rsidP="00295C20">
            <w:pPr>
              <w:pStyle w:val="a8"/>
              <w:rPr>
                <w:rFonts w:eastAsiaTheme="minorEastAsia"/>
                <w:lang w:val="en-GB" w:eastAsia="zh-CN"/>
              </w:rPr>
            </w:pPr>
            <w:r>
              <w:rPr>
                <w:rFonts w:eastAsiaTheme="minorEastAsia" w:hint="eastAsia"/>
                <w:lang w:val="en-GB" w:eastAsia="zh-CN"/>
              </w:rPr>
              <w:t>C</w:t>
            </w:r>
            <w:r>
              <w:rPr>
                <w:rFonts w:eastAsiaTheme="minorEastAsia"/>
                <w:lang w:val="en-GB" w:eastAsia="zh-CN"/>
              </w:rPr>
              <w:t xml:space="preserve">ons. </w:t>
            </w:r>
          </w:p>
        </w:tc>
      </w:tr>
      <w:tr w:rsidR="00F66618" w14:paraId="1B4488EC" w14:textId="77777777" w:rsidTr="00295C20">
        <w:trPr>
          <w:trHeight w:val="351"/>
        </w:trPr>
        <w:tc>
          <w:tcPr>
            <w:tcW w:w="1413" w:type="dxa"/>
          </w:tcPr>
          <w:p w14:paraId="50AB3C15" w14:textId="1BA14F4A" w:rsidR="00F66618" w:rsidRPr="00FF7058" w:rsidRDefault="00F66618" w:rsidP="00295C20">
            <w:pPr>
              <w:pStyle w:val="a8"/>
              <w:rPr>
                <w:rFonts w:eastAsiaTheme="minorEastAsia" w:cstheme="minorBidi"/>
                <w:szCs w:val="21"/>
              </w:rPr>
            </w:pPr>
            <w:r w:rsidRPr="005C385D">
              <w:rPr>
                <w:rFonts w:eastAsiaTheme="minorEastAsia" w:cstheme="minorBidi"/>
                <w:szCs w:val="21"/>
              </w:rPr>
              <w:t>Case 1</w:t>
            </w:r>
            <w:r w:rsidRPr="005C385D">
              <w:rPr>
                <w:rFonts w:eastAsiaTheme="minorEastAsia" w:cstheme="minorBidi" w:hint="eastAsia"/>
                <w:szCs w:val="21"/>
              </w:rPr>
              <w:t>.</w:t>
            </w:r>
            <w:r w:rsidRPr="005C385D">
              <w:rPr>
                <w:rFonts w:eastAsiaTheme="minorEastAsia" w:cstheme="minorBidi"/>
                <w:szCs w:val="21"/>
              </w:rPr>
              <w:t>1</w:t>
            </w:r>
          </w:p>
        </w:tc>
        <w:tc>
          <w:tcPr>
            <w:tcW w:w="3544" w:type="dxa"/>
          </w:tcPr>
          <w:p w14:paraId="542CE4F1" w14:textId="2ED02788" w:rsidR="00F66618" w:rsidRDefault="00F66618" w:rsidP="00295C20">
            <w:pPr>
              <w:pStyle w:val="a8"/>
              <w:rPr>
                <w:rFonts w:eastAsiaTheme="minorEastAsia"/>
                <w:lang w:val="en-GB" w:eastAsia="zh-CN"/>
              </w:rPr>
            </w:pPr>
            <w:r>
              <w:rPr>
                <w:rFonts w:eastAsiaTheme="minorEastAsia"/>
                <w:lang w:val="en-GB" w:eastAsia="zh-CN"/>
              </w:rPr>
              <w:t xml:space="preserve">Legacy behaviour </w:t>
            </w:r>
          </w:p>
        </w:tc>
        <w:tc>
          <w:tcPr>
            <w:tcW w:w="4103" w:type="dxa"/>
          </w:tcPr>
          <w:p w14:paraId="5957E04B" w14:textId="730B640E" w:rsidR="00F66618" w:rsidRPr="008C0AAE" w:rsidRDefault="00F66618" w:rsidP="00295C20">
            <w:pPr>
              <w:pStyle w:val="a8"/>
              <w:rPr>
                <w:rFonts w:eastAsiaTheme="minorEastAsia"/>
                <w:lang w:val="en-GB" w:eastAsia="zh-CN"/>
              </w:rPr>
            </w:pPr>
            <w:r>
              <w:rPr>
                <w:rFonts w:eastAsiaTheme="minorEastAsia"/>
                <w:lang w:val="en-GB" w:eastAsia="zh-CN"/>
              </w:rPr>
              <w:t xml:space="preserve">Only </w:t>
            </w:r>
            <w:r w:rsidR="00BA1CAE">
              <w:rPr>
                <w:rFonts w:eastAsiaTheme="minorEastAsia"/>
                <w:lang w:val="en-GB" w:eastAsia="zh-CN"/>
              </w:rPr>
              <w:t>service for RRC connection UE</w:t>
            </w:r>
            <w:r w:rsidR="00324A1E">
              <w:rPr>
                <w:rFonts w:eastAsiaTheme="minorEastAsia"/>
                <w:lang w:val="en-GB" w:eastAsia="zh-CN"/>
              </w:rPr>
              <w:t>.</w:t>
            </w:r>
          </w:p>
        </w:tc>
      </w:tr>
      <w:tr w:rsidR="00CF682E" w14:paraId="5A6FAA56" w14:textId="77777777" w:rsidTr="00295C20">
        <w:trPr>
          <w:trHeight w:val="351"/>
        </w:trPr>
        <w:tc>
          <w:tcPr>
            <w:tcW w:w="1413" w:type="dxa"/>
          </w:tcPr>
          <w:p w14:paraId="74EB3EE9" w14:textId="19753E54" w:rsidR="00CF682E" w:rsidRDefault="00CF682E" w:rsidP="00295C20">
            <w:pPr>
              <w:pStyle w:val="a8"/>
              <w:rPr>
                <w:rFonts w:eastAsiaTheme="minorEastAsia"/>
                <w:lang w:val="en-GB" w:eastAsia="zh-CN"/>
              </w:rPr>
            </w:pPr>
            <w:r w:rsidRPr="00295C20">
              <w:rPr>
                <w:rFonts w:eastAsiaTheme="minorEastAsia" w:cstheme="minorBidi"/>
                <w:szCs w:val="21"/>
              </w:rPr>
              <w:t>Case</w:t>
            </w:r>
            <w:r>
              <w:rPr>
                <w:rFonts w:eastAsiaTheme="minorEastAsia"/>
                <w:lang w:val="en-GB" w:eastAsia="zh-CN"/>
              </w:rPr>
              <w:t xml:space="preserve"> 1</w:t>
            </w:r>
            <w:r w:rsidR="00BA1CAE">
              <w:rPr>
                <w:rFonts w:eastAsiaTheme="minorEastAsia"/>
                <w:lang w:val="en-GB" w:eastAsia="zh-CN"/>
              </w:rPr>
              <w:t>.2</w:t>
            </w:r>
          </w:p>
        </w:tc>
        <w:tc>
          <w:tcPr>
            <w:tcW w:w="3544" w:type="dxa"/>
          </w:tcPr>
          <w:p w14:paraId="7FD96322" w14:textId="672DFC63" w:rsidR="00274B1A" w:rsidRPr="00C70CCF" w:rsidRDefault="008C0AAE" w:rsidP="00C70CCF">
            <w:pPr>
              <w:pStyle w:val="a8"/>
              <w:rPr>
                <w:rFonts w:eastAsiaTheme="minorEastAsia"/>
                <w:lang w:val="en-GB" w:eastAsia="zh-CN"/>
              </w:rPr>
            </w:pPr>
            <w:r>
              <w:rPr>
                <w:rFonts w:eastAsiaTheme="minorEastAsia"/>
                <w:lang w:val="en-GB" w:eastAsia="zh-CN"/>
              </w:rPr>
              <w:t xml:space="preserve">There is no performance loss of legacy </w:t>
            </w:r>
            <w:r w:rsidR="00917631">
              <w:rPr>
                <w:rFonts w:eastAsiaTheme="minorEastAsia"/>
                <w:lang w:val="en-GB" w:eastAsia="zh-CN"/>
              </w:rPr>
              <w:t>idle</w:t>
            </w:r>
            <w:r w:rsidR="00917631">
              <w:rPr>
                <w:rFonts w:eastAsiaTheme="minorEastAsia"/>
                <w:lang w:val="en-GB" w:eastAsia="zh-CN"/>
              </w:rPr>
              <w:t xml:space="preserve">/inactive </w:t>
            </w:r>
            <w:r>
              <w:rPr>
                <w:rFonts w:eastAsiaTheme="minorEastAsia"/>
                <w:lang w:val="en-GB" w:eastAsia="zh-CN"/>
              </w:rPr>
              <w:t>UEs.</w:t>
            </w:r>
            <w:r w:rsidR="00274B1A">
              <w:t xml:space="preserve"> </w:t>
            </w:r>
          </w:p>
        </w:tc>
        <w:tc>
          <w:tcPr>
            <w:tcW w:w="4103" w:type="dxa"/>
          </w:tcPr>
          <w:p w14:paraId="2FE57742" w14:textId="77777777" w:rsidR="00917631" w:rsidRDefault="00BA1CAE" w:rsidP="00917631">
            <w:pPr>
              <w:pStyle w:val="a8"/>
            </w:pPr>
            <w:r w:rsidRPr="002D2AC3">
              <w:t>When legacy UEs enter the RRC_CONNECTED state</w:t>
            </w:r>
            <w:r w:rsidR="00917631">
              <w:t>:</w:t>
            </w:r>
          </w:p>
          <w:p w14:paraId="5DE6E92E" w14:textId="44D44CC6" w:rsidR="00917631" w:rsidRPr="005C385D" w:rsidRDefault="00917631" w:rsidP="005C385D">
            <w:pPr>
              <w:pStyle w:val="a8"/>
              <w:numPr>
                <w:ilvl w:val="0"/>
                <w:numId w:val="12"/>
              </w:numPr>
              <w:rPr>
                <w:rFonts w:eastAsiaTheme="minorEastAsia"/>
                <w:lang w:val="en-GB" w:eastAsia="zh-CN"/>
              </w:rPr>
            </w:pPr>
            <w:r>
              <w:rPr>
                <w:rFonts w:eastAsiaTheme="minorEastAsia" w:hint="eastAsia"/>
                <w:lang w:val="en-GB" w:eastAsia="zh-CN"/>
              </w:rPr>
              <w:t>U</w:t>
            </w:r>
            <w:r>
              <w:rPr>
                <w:rFonts w:eastAsiaTheme="minorEastAsia"/>
                <w:lang w:val="en-GB" w:eastAsia="zh-CN"/>
              </w:rPr>
              <w:t xml:space="preserve">E will have performance loss. </w:t>
            </w:r>
          </w:p>
          <w:p w14:paraId="51BCFE2B" w14:textId="5933384F" w:rsidR="00917631" w:rsidRPr="005C385D" w:rsidRDefault="00917631" w:rsidP="005C385D">
            <w:pPr>
              <w:pStyle w:val="a8"/>
              <w:numPr>
                <w:ilvl w:val="0"/>
                <w:numId w:val="12"/>
              </w:numPr>
              <w:rPr>
                <w:rFonts w:eastAsiaTheme="minorEastAsia" w:hint="eastAsia"/>
                <w:lang w:val="en-GB" w:eastAsia="zh-CN"/>
              </w:rPr>
            </w:pPr>
            <w:r>
              <w:rPr>
                <w:rFonts w:eastAsiaTheme="minorEastAsia"/>
                <w:lang w:val="en-GB" w:eastAsia="zh-CN"/>
              </w:rPr>
              <w:t>I</w:t>
            </w:r>
            <w:r w:rsidR="008C0AAE">
              <w:rPr>
                <w:rFonts w:eastAsiaTheme="minorEastAsia"/>
                <w:lang w:val="en-GB" w:eastAsia="zh-CN"/>
              </w:rPr>
              <w:t>t</w:t>
            </w:r>
            <w:r w:rsidR="008C0AAE" w:rsidRPr="008C0AAE">
              <w:rPr>
                <w:rFonts w:eastAsiaTheme="minorEastAsia"/>
                <w:lang w:val="en-GB" w:eastAsia="zh-CN"/>
              </w:rPr>
              <w:t xml:space="preserve"> will increase the number of handovers</w:t>
            </w:r>
            <w:r w:rsidR="00BA1CAE">
              <w:rPr>
                <w:rFonts w:eastAsiaTheme="minorEastAsia"/>
                <w:lang w:val="en-GB" w:eastAsia="zh-CN"/>
              </w:rPr>
              <w:t xml:space="preserve"> </w:t>
            </w:r>
            <w:r>
              <w:rPr>
                <w:rFonts w:eastAsiaTheme="minorEastAsia"/>
                <w:lang w:val="en-GB" w:eastAsia="zh-CN"/>
              </w:rPr>
              <w:t xml:space="preserve">and signalling overhead </w:t>
            </w:r>
            <w:r w:rsidR="00BA1CAE">
              <w:rPr>
                <w:rFonts w:eastAsiaTheme="minorEastAsia"/>
                <w:lang w:val="en-GB" w:eastAsia="zh-CN"/>
              </w:rPr>
              <w:t xml:space="preserve">if the network </w:t>
            </w:r>
            <w:r w:rsidR="00BA1CAE">
              <w:rPr>
                <w:rFonts w:eastAsiaTheme="minorEastAsia"/>
                <w:lang w:val="en-GB" w:eastAsia="zh-CN"/>
              </w:rPr>
              <w:lastRenderedPageBreak/>
              <w:t>would service R18 NES UE only in NES cell</w:t>
            </w:r>
            <w:r>
              <w:rPr>
                <w:rFonts w:eastAsiaTheme="minorEastAsia"/>
                <w:lang w:val="en-GB" w:eastAsia="zh-CN"/>
              </w:rPr>
              <w:t>.</w:t>
            </w:r>
          </w:p>
        </w:tc>
      </w:tr>
      <w:tr w:rsidR="00CF682E" w14:paraId="60222FFE" w14:textId="77777777" w:rsidTr="00295C20">
        <w:tc>
          <w:tcPr>
            <w:tcW w:w="1413" w:type="dxa"/>
          </w:tcPr>
          <w:p w14:paraId="08E6829B" w14:textId="602D77A4" w:rsidR="00CF682E" w:rsidRDefault="00CF682E" w:rsidP="00295C20">
            <w:pPr>
              <w:pStyle w:val="a8"/>
              <w:rPr>
                <w:rFonts w:eastAsiaTheme="minorEastAsia"/>
                <w:lang w:val="en-GB" w:eastAsia="zh-CN"/>
              </w:rPr>
            </w:pPr>
            <w:r w:rsidRPr="00295C20">
              <w:rPr>
                <w:rFonts w:eastAsiaTheme="minorEastAsia" w:cstheme="minorBidi"/>
                <w:szCs w:val="21"/>
              </w:rPr>
              <w:lastRenderedPageBreak/>
              <w:t>Case</w:t>
            </w:r>
            <w:r>
              <w:rPr>
                <w:rFonts w:eastAsiaTheme="minorEastAsia"/>
                <w:lang w:val="en-GB" w:eastAsia="zh-CN"/>
              </w:rPr>
              <w:t xml:space="preserve"> 2</w:t>
            </w:r>
            <w:r w:rsidR="00BA1CAE">
              <w:rPr>
                <w:rFonts w:eastAsiaTheme="minorEastAsia"/>
                <w:lang w:val="en-GB" w:eastAsia="zh-CN"/>
              </w:rPr>
              <w:t>.1</w:t>
            </w:r>
          </w:p>
        </w:tc>
        <w:tc>
          <w:tcPr>
            <w:tcW w:w="3544" w:type="dxa"/>
          </w:tcPr>
          <w:p w14:paraId="6549A9C8" w14:textId="6CF6F5FC" w:rsidR="00CF682E" w:rsidRDefault="00917631" w:rsidP="00917631">
            <w:pPr>
              <w:pStyle w:val="a8"/>
              <w:numPr>
                <w:ilvl w:val="0"/>
                <w:numId w:val="13"/>
              </w:numPr>
              <w:rPr>
                <w:rFonts w:eastAsiaTheme="minorEastAsia"/>
                <w:lang w:val="en-GB" w:eastAsia="zh-CN"/>
              </w:rPr>
            </w:pPr>
            <w:r>
              <w:rPr>
                <w:rFonts w:eastAsiaTheme="minorEastAsia"/>
                <w:lang w:val="en-GB" w:eastAsia="zh-CN"/>
              </w:rPr>
              <w:t>I</w:t>
            </w:r>
            <w:r>
              <w:rPr>
                <w:rFonts w:eastAsiaTheme="minorEastAsia"/>
                <w:lang w:val="en-GB" w:eastAsia="zh-CN"/>
              </w:rPr>
              <w:t>t</w:t>
            </w:r>
            <w:r w:rsidRPr="008C0AAE">
              <w:rPr>
                <w:rFonts w:eastAsiaTheme="minorEastAsia"/>
                <w:lang w:val="en-GB" w:eastAsia="zh-CN"/>
              </w:rPr>
              <w:t xml:space="preserve"> will </w:t>
            </w:r>
            <w:r>
              <w:rPr>
                <w:rFonts w:eastAsiaTheme="minorEastAsia"/>
                <w:lang w:val="en-GB" w:eastAsia="zh-CN"/>
              </w:rPr>
              <w:t>decrease</w:t>
            </w:r>
            <w:r w:rsidRPr="008C0AAE">
              <w:rPr>
                <w:rFonts w:eastAsiaTheme="minorEastAsia"/>
                <w:lang w:val="en-GB" w:eastAsia="zh-CN"/>
              </w:rPr>
              <w:t xml:space="preserve"> the number of handovers</w:t>
            </w:r>
            <w:r>
              <w:rPr>
                <w:rFonts w:eastAsiaTheme="minorEastAsia"/>
                <w:lang w:val="en-GB" w:eastAsia="zh-CN"/>
              </w:rPr>
              <w:t xml:space="preserve"> and signalling overhead if the network would service R18 NES UE only in NES cell.</w:t>
            </w:r>
          </w:p>
          <w:p w14:paraId="0E2D343A" w14:textId="7A4BB5F2" w:rsidR="00917631" w:rsidRPr="005C385D" w:rsidRDefault="00917631" w:rsidP="005C385D">
            <w:pPr>
              <w:pStyle w:val="a8"/>
              <w:numPr>
                <w:ilvl w:val="0"/>
                <w:numId w:val="13"/>
              </w:numPr>
              <w:rPr>
                <w:rFonts w:eastAsiaTheme="minorEastAsia" w:hint="eastAsia"/>
                <w:lang w:val="en-GB" w:eastAsia="zh-CN"/>
              </w:rPr>
            </w:pPr>
            <w:r>
              <w:rPr>
                <w:rFonts w:eastAsiaTheme="minorEastAsia"/>
                <w:lang w:val="en-GB" w:eastAsia="zh-CN"/>
              </w:rPr>
              <w:t xml:space="preserve">It can avoid performance loss for legacy UEs. </w:t>
            </w:r>
          </w:p>
        </w:tc>
        <w:tc>
          <w:tcPr>
            <w:tcW w:w="4103" w:type="dxa"/>
          </w:tcPr>
          <w:p w14:paraId="3E4B0C43" w14:textId="14B77075" w:rsidR="00CF682E" w:rsidRDefault="00917631" w:rsidP="00295C20">
            <w:pPr>
              <w:pStyle w:val="a8"/>
              <w:rPr>
                <w:rFonts w:eastAsiaTheme="minorEastAsia"/>
                <w:lang w:val="en-GB" w:eastAsia="zh-CN"/>
              </w:rPr>
            </w:pPr>
            <w:r>
              <w:t>I</w:t>
            </w:r>
            <w:r w:rsidRPr="008C0AAE">
              <w:t xml:space="preserve">t </w:t>
            </w:r>
            <w:proofErr w:type="spellStart"/>
            <w:r w:rsidRPr="008C0AAE">
              <w:t xml:space="preserve">can </w:t>
            </w:r>
            <w:r>
              <w:t>not</w:t>
            </w:r>
            <w:proofErr w:type="spellEnd"/>
            <w:r>
              <w:t xml:space="preserve"> </w:t>
            </w:r>
            <w:r w:rsidRPr="008C0AAE">
              <w:t xml:space="preserve">ensure that the </w:t>
            </w:r>
            <w:r>
              <w:t xml:space="preserve">legacy </w:t>
            </w:r>
            <w:r w:rsidRPr="008C0AAE">
              <w:t>UE</w:t>
            </w:r>
            <w:r>
              <w:t>s</w:t>
            </w:r>
            <w:r w:rsidRPr="008C0AAE">
              <w:t xml:space="preserve"> </w:t>
            </w:r>
            <w:r>
              <w:t>can find</w:t>
            </w:r>
            <w:r w:rsidRPr="008C0AAE">
              <w:t xml:space="preserve"> a suitable</w:t>
            </w:r>
            <w:r>
              <w:t xml:space="preserve"> or good quality</w:t>
            </w:r>
            <w:r w:rsidRPr="008C0AAE">
              <w:t xml:space="preserve"> cell</w:t>
            </w:r>
            <w:r>
              <w:t>.</w:t>
            </w:r>
          </w:p>
        </w:tc>
      </w:tr>
    </w:tbl>
    <w:p w14:paraId="0945E114" w14:textId="64F3474B" w:rsidR="004D2A1D" w:rsidRDefault="004D2A1D" w:rsidP="002D2AC3">
      <w:pPr>
        <w:spacing w:after="180"/>
        <w:jc w:val="center"/>
        <w:rPr>
          <w:lang w:val="en-GB"/>
        </w:rPr>
      </w:pPr>
      <w:r>
        <w:rPr>
          <w:rFonts w:hint="eastAsia"/>
          <w:lang w:val="en-GB"/>
        </w:rPr>
        <w:t>T</w:t>
      </w:r>
      <w:r>
        <w:rPr>
          <w:lang w:val="en-GB"/>
        </w:rPr>
        <w:t>able 1: The pros and cons of the cases</w:t>
      </w:r>
    </w:p>
    <w:p w14:paraId="6402F3EB" w14:textId="52BF2FAC" w:rsidR="00917631" w:rsidRPr="005C385D" w:rsidRDefault="00917631" w:rsidP="005C385D">
      <w:pPr>
        <w:spacing w:after="180"/>
        <w:jc w:val="left"/>
        <w:rPr>
          <w:rFonts w:hint="eastAsia"/>
        </w:rPr>
      </w:pPr>
      <w:r w:rsidRPr="005C385D">
        <w:t>The severity on UE perfor</w:t>
      </w:r>
      <w:bookmarkStart w:id="11" w:name="_GoBack"/>
      <w:bookmarkEnd w:id="11"/>
      <w:r w:rsidRPr="005C385D">
        <w:t>mance loss</w:t>
      </w:r>
      <w:r>
        <w:t xml:space="preserve"> is </w:t>
      </w:r>
      <w:r w:rsidRPr="00917631">
        <w:t>uncertain</w:t>
      </w:r>
      <w:r>
        <w:t xml:space="preserve">, </w:t>
      </w:r>
      <w:r w:rsidRPr="005C385D">
        <w:t>which depends on the detailed discussion of the Rel-18 NES technique.</w:t>
      </w:r>
      <w:r>
        <w:t xml:space="preserve"> </w:t>
      </w:r>
      <w:r>
        <w:t xml:space="preserve">Therefore, </w:t>
      </w:r>
      <w:r w:rsidRPr="00475E0D">
        <w:t>based on this and we propose the following:</w:t>
      </w:r>
    </w:p>
    <w:p w14:paraId="43988293" w14:textId="72D5EEDF" w:rsidR="003517C9" w:rsidRPr="00806946" w:rsidRDefault="0065481B" w:rsidP="003F3641">
      <w:pPr>
        <w:pStyle w:val="aa"/>
        <w:numPr>
          <w:ilvl w:val="0"/>
          <w:numId w:val="3"/>
        </w:numPr>
        <w:ind w:left="1701" w:firstLineChars="0" w:hanging="1701"/>
        <w:rPr>
          <w:rFonts w:ascii="Times New Roman" w:eastAsiaTheme="minorEastAsia" w:hAnsi="Times New Roman"/>
          <w:b/>
          <w:sz w:val="20"/>
          <w:szCs w:val="20"/>
        </w:rPr>
      </w:pPr>
      <w:bookmarkStart w:id="12" w:name="OLE_LINK14"/>
      <w:r>
        <w:rPr>
          <w:rFonts w:ascii="Times New Roman" w:eastAsiaTheme="minorEastAsia" w:hAnsi="Times New Roman"/>
          <w:b/>
          <w:sz w:val="20"/>
          <w:szCs w:val="20"/>
        </w:rPr>
        <w:t xml:space="preserve">RAN2 to </w:t>
      </w:r>
      <w:r w:rsidR="00917631">
        <w:rPr>
          <w:rFonts w:ascii="Times New Roman" w:eastAsiaTheme="minorEastAsia" w:hAnsi="Times New Roman"/>
          <w:b/>
          <w:sz w:val="20"/>
          <w:szCs w:val="20"/>
        </w:rPr>
        <w:t>postpone</w:t>
      </w:r>
      <w:r w:rsidR="00917631">
        <w:rPr>
          <w:rFonts w:ascii="Times New Roman" w:eastAsiaTheme="minorEastAsia" w:hAnsi="Times New Roman"/>
          <w:b/>
          <w:sz w:val="20"/>
          <w:szCs w:val="20"/>
        </w:rPr>
        <w:t xml:space="preserve"> </w:t>
      </w:r>
      <w:r w:rsidR="00917631">
        <w:rPr>
          <w:rFonts w:ascii="Times New Roman" w:eastAsiaTheme="minorEastAsia" w:hAnsi="Times New Roman"/>
          <w:b/>
          <w:sz w:val="20"/>
          <w:szCs w:val="20"/>
        </w:rPr>
        <w:t>the discussion</w:t>
      </w:r>
      <w:r w:rsidR="00011F31">
        <w:rPr>
          <w:rFonts w:ascii="Times New Roman" w:eastAsiaTheme="minorEastAsia" w:hAnsi="Times New Roman"/>
          <w:b/>
          <w:sz w:val="20"/>
          <w:szCs w:val="20"/>
        </w:rPr>
        <w:t xml:space="preserve"> until the detailed </w:t>
      </w:r>
      <w:r w:rsidR="00011F31" w:rsidRPr="005C385D">
        <w:rPr>
          <w:rFonts w:ascii="Times New Roman" w:eastAsiaTheme="minorEastAsia" w:hAnsi="Times New Roman"/>
          <w:b/>
          <w:sz w:val="20"/>
          <w:szCs w:val="20"/>
        </w:rPr>
        <w:t>Rel-18 NES technique</w:t>
      </w:r>
      <w:r w:rsidR="006137EE">
        <w:rPr>
          <w:rFonts w:ascii="Times New Roman" w:eastAsiaTheme="minorEastAsia" w:hAnsi="Times New Roman"/>
          <w:b/>
          <w:sz w:val="20"/>
          <w:szCs w:val="20"/>
        </w:rPr>
        <w:t>s</w:t>
      </w:r>
      <w:r w:rsidR="00011F31">
        <w:rPr>
          <w:rFonts w:ascii="Times New Roman" w:eastAsiaTheme="minorEastAsia" w:hAnsi="Times New Roman"/>
          <w:b/>
          <w:sz w:val="20"/>
          <w:szCs w:val="20"/>
        </w:rPr>
        <w:t xml:space="preserve"> are spec</w:t>
      </w:r>
      <w:r w:rsidR="00274B1A">
        <w:rPr>
          <w:rFonts w:ascii="Times New Roman" w:eastAsiaTheme="minorEastAsia" w:hAnsi="Times New Roman"/>
          <w:b/>
          <w:sz w:val="20"/>
          <w:szCs w:val="20"/>
        </w:rPr>
        <w:t>ify</w:t>
      </w:r>
      <w:r w:rsidR="003517C9">
        <w:rPr>
          <w:rFonts w:ascii="Times New Roman" w:eastAsiaTheme="minorEastAsia" w:hAnsi="Times New Roman"/>
          <w:b/>
          <w:sz w:val="20"/>
          <w:szCs w:val="20"/>
        </w:rPr>
        <w:t>.</w:t>
      </w:r>
    </w:p>
    <w:bookmarkEnd w:id="12"/>
    <w:p w14:paraId="77A2F34F" w14:textId="77777777" w:rsidR="00453F8F" w:rsidRPr="005C385D" w:rsidRDefault="00453F8F" w:rsidP="00541641">
      <w:pPr>
        <w:pBdr>
          <w:bottom w:val="single" w:sz="12" w:space="1" w:color="auto"/>
        </w:pBdr>
      </w:pPr>
    </w:p>
    <w:p w14:paraId="347555DC" w14:textId="0FFFED12" w:rsidR="00541641" w:rsidRDefault="00541641" w:rsidP="00541641">
      <w:pPr>
        <w:pStyle w:val="1"/>
      </w:pPr>
      <w:r>
        <w:t>Conclusion</w:t>
      </w:r>
    </w:p>
    <w:p w14:paraId="2CA5C5B5" w14:textId="77777777"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0800F7EA" w14:textId="14DC6FF5" w:rsidR="004D2A1D" w:rsidRPr="002D2AC3" w:rsidRDefault="004D2A1D" w:rsidP="002D2AC3">
      <w:pPr>
        <w:pStyle w:val="a8"/>
        <w:numPr>
          <w:ilvl w:val="0"/>
          <w:numId w:val="7"/>
        </w:numPr>
        <w:ind w:left="1701" w:hanging="1701"/>
        <w:rPr>
          <w:rFonts w:eastAsiaTheme="minorEastAsia"/>
          <w:b/>
          <w:szCs w:val="20"/>
          <w:lang w:eastAsia="zh-CN"/>
        </w:rPr>
      </w:pPr>
      <w:r w:rsidRPr="002D2AC3">
        <w:rPr>
          <w:rFonts w:eastAsiaTheme="minorEastAsia"/>
          <w:b/>
          <w:szCs w:val="20"/>
          <w:lang w:eastAsia="zh-CN"/>
        </w:rPr>
        <w:t>The Rel-18 NES techniques are designed for RRC_CONNECTED UEs except for the techniques of inter-node beam activation and paging enhancement. But there is no impact for legacy idle/inactive UEs camping on cell adopting the Rel-18 NES techniques.</w:t>
      </w:r>
    </w:p>
    <w:p w14:paraId="28337572" w14:textId="77777777" w:rsidR="004D2A1D" w:rsidRPr="002D2AC3" w:rsidRDefault="004D2A1D" w:rsidP="002D2AC3">
      <w:pPr>
        <w:pStyle w:val="a8"/>
        <w:numPr>
          <w:ilvl w:val="0"/>
          <w:numId w:val="7"/>
        </w:numPr>
        <w:ind w:left="1701" w:hanging="1701"/>
        <w:rPr>
          <w:rFonts w:eastAsiaTheme="minorEastAsia"/>
          <w:b/>
          <w:szCs w:val="20"/>
          <w:lang w:eastAsia="zh-CN"/>
        </w:rPr>
      </w:pPr>
      <w:r w:rsidRPr="002D2AC3">
        <w:rPr>
          <w:rFonts w:eastAsiaTheme="minorEastAsia"/>
          <w:b/>
          <w:szCs w:val="20"/>
          <w:lang w:eastAsia="zh-CN"/>
        </w:rPr>
        <w:t>For legacy UEs in RRC_CONNECTED state, cell DTX/DRX and techniques in spatial and power domains may cause performance loss to legacy UEs, which depends on the detailed discussion of these mechanism.</w:t>
      </w:r>
    </w:p>
    <w:p w14:paraId="67F354E3" w14:textId="1439DB13" w:rsidR="00011F31" w:rsidRPr="005C385D" w:rsidRDefault="00011F31" w:rsidP="005C385D">
      <w:pPr>
        <w:pStyle w:val="aa"/>
        <w:numPr>
          <w:ilvl w:val="0"/>
          <w:numId w:val="8"/>
        </w:numPr>
        <w:ind w:left="1701" w:firstLineChars="0" w:hanging="1701"/>
        <w:rPr>
          <w:rFonts w:ascii="Times New Roman" w:eastAsiaTheme="minorEastAsia" w:hAnsi="Times New Roman" w:hint="eastAsia"/>
          <w:b/>
          <w:sz w:val="20"/>
          <w:szCs w:val="20"/>
        </w:rPr>
      </w:pPr>
      <w:r>
        <w:rPr>
          <w:rFonts w:ascii="Times New Roman" w:eastAsiaTheme="minorEastAsia" w:hAnsi="Times New Roman"/>
          <w:b/>
          <w:sz w:val="20"/>
          <w:szCs w:val="20"/>
        </w:rPr>
        <w:t>RAN2 to postpone</w:t>
      </w:r>
      <w:r>
        <w:rPr>
          <w:rFonts w:ascii="Times New Roman" w:eastAsiaTheme="minorEastAsia" w:hAnsi="Times New Roman"/>
          <w:b/>
          <w:sz w:val="20"/>
          <w:szCs w:val="20"/>
        </w:rPr>
        <w:t xml:space="preserve"> </w:t>
      </w:r>
      <w:r>
        <w:rPr>
          <w:rFonts w:ascii="Times New Roman" w:eastAsiaTheme="minorEastAsia" w:hAnsi="Times New Roman"/>
          <w:b/>
          <w:sz w:val="20"/>
          <w:szCs w:val="20"/>
        </w:rPr>
        <w:t xml:space="preserve">the discussion until the detailed </w:t>
      </w:r>
      <w:r w:rsidRPr="009D0D43">
        <w:rPr>
          <w:rFonts w:ascii="Times New Roman" w:eastAsiaTheme="minorEastAsia" w:hAnsi="Times New Roman"/>
          <w:b/>
          <w:sz w:val="20"/>
          <w:szCs w:val="20"/>
        </w:rPr>
        <w:t>Rel-18 NES technique</w:t>
      </w:r>
      <w:r w:rsidR="006137EE">
        <w:rPr>
          <w:rFonts w:ascii="Times New Roman" w:eastAsiaTheme="minorEastAsia" w:hAnsi="Times New Roman"/>
          <w:b/>
          <w:sz w:val="20"/>
          <w:szCs w:val="20"/>
        </w:rPr>
        <w:t>s</w:t>
      </w:r>
      <w:r>
        <w:rPr>
          <w:rFonts w:ascii="Times New Roman" w:eastAsiaTheme="minorEastAsia" w:hAnsi="Times New Roman"/>
          <w:b/>
          <w:sz w:val="20"/>
          <w:szCs w:val="20"/>
        </w:rPr>
        <w:t xml:space="preserve"> are specify.</w:t>
      </w:r>
    </w:p>
    <w:p w14:paraId="411BF479" w14:textId="77777777" w:rsidR="00AF48F0" w:rsidRPr="005C385D" w:rsidRDefault="00AF48F0" w:rsidP="003A2AEA">
      <w:pPr>
        <w:pBdr>
          <w:bottom w:val="single" w:sz="12" w:space="1" w:color="auto"/>
        </w:pBdr>
        <w:rPr>
          <w:rFonts w:hint="eastAsia"/>
          <w:b/>
          <w:szCs w:val="20"/>
        </w:rPr>
      </w:pPr>
    </w:p>
    <w:p w14:paraId="097CCED1" w14:textId="0E11BEE9" w:rsidR="00541641" w:rsidRDefault="00541641" w:rsidP="00541641">
      <w:pPr>
        <w:pStyle w:val="1"/>
      </w:pPr>
      <w:r>
        <w:t>References</w:t>
      </w:r>
    </w:p>
    <w:p w14:paraId="34323547" w14:textId="62D07677" w:rsidR="00A2414B" w:rsidRDefault="00453F8F" w:rsidP="00A2414B">
      <w:r>
        <w:rPr>
          <w:rFonts w:hint="eastAsia"/>
        </w:rPr>
        <w:t>[</w:t>
      </w:r>
      <w:r>
        <w:t xml:space="preserve">1] </w:t>
      </w:r>
      <w:r w:rsidR="009405CF">
        <w:t>RP-223540, Network energy savings for NR, Huawei.</w:t>
      </w:r>
    </w:p>
    <w:p w14:paraId="4F9619F0" w14:textId="77777777" w:rsidR="005E09FF" w:rsidRPr="00A2414B" w:rsidRDefault="005E09FF" w:rsidP="00A2414B"/>
    <w:sectPr w:rsidR="005E09FF" w:rsidRPr="00A2414B"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FF096" w14:textId="77777777" w:rsidR="00982BF4" w:rsidRDefault="00982BF4" w:rsidP="003E7FE5">
      <w:r>
        <w:separator/>
      </w:r>
    </w:p>
  </w:endnote>
  <w:endnote w:type="continuationSeparator" w:id="0">
    <w:p w14:paraId="4CEF33BE" w14:textId="77777777" w:rsidR="00982BF4" w:rsidRDefault="00982BF4"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6F3F0" w14:textId="77777777" w:rsidR="00982BF4" w:rsidRDefault="00982BF4" w:rsidP="003E7FE5">
      <w:r>
        <w:separator/>
      </w:r>
    </w:p>
  </w:footnote>
  <w:footnote w:type="continuationSeparator" w:id="0">
    <w:p w14:paraId="014D7D55" w14:textId="77777777" w:rsidR="00982BF4" w:rsidRDefault="00982BF4"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D4E35"/>
    <w:multiLevelType w:val="multilevel"/>
    <w:tmpl w:val="8522FBDE"/>
    <w:lvl w:ilvl="0">
      <w:start w:val="1"/>
      <w:numFmt w:val="decimal"/>
      <w:lvlText w:val="Observation %1"/>
      <w:lvlJc w:val="left"/>
      <w:pPr>
        <w:ind w:left="840" w:hanging="132"/>
      </w:pPr>
      <w:rPr>
        <w:rFonts w:hint="eastAsia"/>
      </w:rPr>
    </w:lvl>
    <w:lvl w:ilvl="1">
      <w:start w:val="1"/>
      <w:numFmt w:val="lowerLetter"/>
      <w:lvlText w:val="%2)"/>
      <w:lvlJc w:val="left"/>
      <w:pPr>
        <w:ind w:left="552" w:hanging="420"/>
      </w:pPr>
      <w:rPr>
        <w:rFonts w:hint="eastAsia"/>
      </w:rPr>
    </w:lvl>
    <w:lvl w:ilvl="2">
      <w:start w:val="1"/>
      <w:numFmt w:val="lowerRoman"/>
      <w:lvlText w:val="%3."/>
      <w:lvlJc w:val="right"/>
      <w:pPr>
        <w:ind w:left="972" w:hanging="420"/>
      </w:pPr>
      <w:rPr>
        <w:rFonts w:hint="eastAsia"/>
      </w:rPr>
    </w:lvl>
    <w:lvl w:ilvl="3">
      <w:start w:val="1"/>
      <w:numFmt w:val="decimal"/>
      <w:lvlText w:val="%4."/>
      <w:lvlJc w:val="left"/>
      <w:pPr>
        <w:ind w:left="1392" w:hanging="420"/>
      </w:pPr>
      <w:rPr>
        <w:rFonts w:hint="eastAsia"/>
      </w:rPr>
    </w:lvl>
    <w:lvl w:ilvl="4">
      <w:start w:val="1"/>
      <w:numFmt w:val="lowerLetter"/>
      <w:lvlText w:val="%5)"/>
      <w:lvlJc w:val="left"/>
      <w:pPr>
        <w:ind w:left="1812" w:hanging="420"/>
      </w:pPr>
      <w:rPr>
        <w:rFonts w:hint="eastAsia"/>
      </w:rPr>
    </w:lvl>
    <w:lvl w:ilvl="5">
      <w:start w:val="1"/>
      <w:numFmt w:val="lowerRoman"/>
      <w:lvlText w:val="%6."/>
      <w:lvlJc w:val="right"/>
      <w:pPr>
        <w:ind w:left="2232" w:hanging="420"/>
      </w:pPr>
      <w:rPr>
        <w:rFonts w:hint="eastAsia"/>
      </w:rPr>
    </w:lvl>
    <w:lvl w:ilvl="6">
      <w:start w:val="1"/>
      <w:numFmt w:val="decimal"/>
      <w:lvlText w:val="%7."/>
      <w:lvlJc w:val="left"/>
      <w:pPr>
        <w:ind w:left="2652" w:hanging="420"/>
      </w:pPr>
      <w:rPr>
        <w:rFonts w:hint="eastAsia"/>
      </w:rPr>
    </w:lvl>
    <w:lvl w:ilvl="7">
      <w:start w:val="1"/>
      <w:numFmt w:val="lowerLetter"/>
      <w:lvlText w:val="%8)"/>
      <w:lvlJc w:val="left"/>
      <w:pPr>
        <w:ind w:left="3072" w:hanging="420"/>
      </w:pPr>
      <w:rPr>
        <w:rFonts w:hint="eastAsia"/>
      </w:rPr>
    </w:lvl>
    <w:lvl w:ilvl="8">
      <w:start w:val="1"/>
      <w:numFmt w:val="lowerRoman"/>
      <w:lvlText w:val="%9."/>
      <w:lvlJc w:val="right"/>
      <w:pPr>
        <w:ind w:left="3492" w:hanging="420"/>
      </w:pPr>
      <w:rPr>
        <w:rFonts w:hint="eastAsia"/>
      </w:rPr>
    </w:lvl>
  </w:abstractNum>
  <w:abstractNum w:abstractNumId="1" w15:restartNumberingAfterBreak="0">
    <w:nsid w:val="30892E3B"/>
    <w:multiLevelType w:val="hybridMultilevel"/>
    <w:tmpl w:val="774C1358"/>
    <w:lvl w:ilvl="0" w:tplc="27321C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FB07F29"/>
    <w:multiLevelType w:val="hybridMultilevel"/>
    <w:tmpl w:val="8FEE004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7863440"/>
    <w:multiLevelType w:val="hybridMultilevel"/>
    <w:tmpl w:val="7F4AE0E0"/>
    <w:lvl w:ilvl="0" w:tplc="E356EBE0">
      <w:start w:val="2"/>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BD4DC6"/>
    <w:multiLevelType w:val="multilevel"/>
    <w:tmpl w:val="ABFEBCE8"/>
    <w:lvl w:ilvl="0">
      <w:start w:val="1"/>
      <w:numFmt w:val="decimal"/>
      <w:lvlText w:val="Proposal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6"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65DC6EA8"/>
    <w:multiLevelType w:val="hybridMultilevel"/>
    <w:tmpl w:val="DA5A5B2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F0590C"/>
    <w:multiLevelType w:val="hybridMultilevel"/>
    <w:tmpl w:val="ECF8A3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A1C03D5"/>
    <w:multiLevelType w:val="hybridMultilevel"/>
    <w:tmpl w:val="935476BC"/>
    <w:lvl w:ilvl="0" w:tplc="9D1E2988">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BD34F3B"/>
    <w:multiLevelType w:val="multilevel"/>
    <w:tmpl w:val="6BD34F3B"/>
    <w:lvl w:ilvl="0">
      <w:start w:val="1"/>
      <w:numFmt w:val="decimal"/>
      <w:lvlText w:val="Proposal %1"/>
      <w:lvlJc w:val="left"/>
      <w:pPr>
        <w:ind w:left="562"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2" w15:restartNumberingAfterBreak="0">
    <w:nsid w:val="6EE511DF"/>
    <w:multiLevelType w:val="multilevel"/>
    <w:tmpl w:val="4B706992"/>
    <w:lvl w:ilvl="0">
      <w:start w:val="1"/>
      <w:numFmt w:val="decimal"/>
      <w:lvlText w:val="Observation %1"/>
      <w:lvlJc w:val="left"/>
      <w:pPr>
        <w:ind w:left="982" w:hanging="132"/>
      </w:pPr>
      <w:rPr>
        <w:rFonts w:hint="eastAsia"/>
        <w:b/>
      </w:rPr>
    </w:lvl>
    <w:lvl w:ilvl="1">
      <w:start w:val="1"/>
      <w:numFmt w:val="lowerLetter"/>
      <w:lvlText w:val="%2)"/>
      <w:lvlJc w:val="left"/>
      <w:pPr>
        <w:ind w:left="694" w:hanging="420"/>
      </w:pPr>
    </w:lvl>
    <w:lvl w:ilvl="2">
      <w:start w:val="1"/>
      <w:numFmt w:val="lowerRoman"/>
      <w:lvlText w:val="%3."/>
      <w:lvlJc w:val="right"/>
      <w:pPr>
        <w:ind w:left="1114" w:hanging="420"/>
      </w:pPr>
    </w:lvl>
    <w:lvl w:ilvl="3">
      <w:start w:val="1"/>
      <w:numFmt w:val="decimal"/>
      <w:lvlText w:val="%4."/>
      <w:lvlJc w:val="left"/>
      <w:pPr>
        <w:ind w:left="1534" w:hanging="420"/>
      </w:pPr>
    </w:lvl>
    <w:lvl w:ilvl="4">
      <w:start w:val="1"/>
      <w:numFmt w:val="lowerLetter"/>
      <w:lvlText w:val="%5)"/>
      <w:lvlJc w:val="left"/>
      <w:pPr>
        <w:ind w:left="1954" w:hanging="420"/>
      </w:pPr>
    </w:lvl>
    <w:lvl w:ilvl="5">
      <w:start w:val="1"/>
      <w:numFmt w:val="lowerRoman"/>
      <w:lvlText w:val="%6."/>
      <w:lvlJc w:val="right"/>
      <w:pPr>
        <w:ind w:left="2374" w:hanging="420"/>
      </w:pPr>
    </w:lvl>
    <w:lvl w:ilvl="6">
      <w:start w:val="1"/>
      <w:numFmt w:val="decimal"/>
      <w:lvlText w:val="%7."/>
      <w:lvlJc w:val="left"/>
      <w:pPr>
        <w:ind w:left="2794" w:hanging="420"/>
      </w:pPr>
    </w:lvl>
    <w:lvl w:ilvl="7">
      <w:start w:val="1"/>
      <w:numFmt w:val="lowerLetter"/>
      <w:lvlText w:val="%8)"/>
      <w:lvlJc w:val="left"/>
      <w:pPr>
        <w:ind w:left="3214" w:hanging="420"/>
      </w:pPr>
    </w:lvl>
    <w:lvl w:ilvl="8">
      <w:start w:val="1"/>
      <w:numFmt w:val="lowerRoman"/>
      <w:lvlText w:val="%9."/>
      <w:lvlJc w:val="right"/>
      <w:pPr>
        <w:ind w:left="3634" w:hanging="420"/>
      </w:pPr>
    </w:lvl>
  </w:abstractNum>
  <w:abstractNum w:abstractNumId="13" w15:restartNumberingAfterBreak="0">
    <w:nsid w:val="7CB91043"/>
    <w:multiLevelType w:val="hybridMultilevel"/>
    <w:tmpl w:val="F65CBB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FB347EB"/>
    <w:multiLevelType w:val="hybridMultilevel"/>
    <w:tmpl w:val="84CCFB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2"/>
  </w:num>
  <w:num w:numId="3">
    <w:abstractNumId w:val="10"/>
  </w:num>
  <w:num w:numId="4">
    <w:abstractNumId w:val="5"/>
  </w:num>
  <w:num w:numId="5">
    <w:abstractNumId w:val="9"/>
  </w:num>
  <w:num w:numId="6">
    <w:abstractNumId w:val="11"/>
  </w:num>
  <w:num w:numId="7">
    <w:abstractNumId w:val="0"/>
  </w:num>
  <w:num w:numId="8">
    <w:abstractNumId w:val="4"/>
  </w:num>
  <w:num w:numId="9">
    <w:abstractNumId w:val="7"/>
  </w:num>
  <w:num w:numId="10">
    <w:abstractNumId w:val="3"/>
  </w:num>
  <w:num w:numId="11">
    <w:abstractNumId w:val="2"/>
  </w:num>
  <w:num w:numId="12">
    <w:abstractNumId w:val="14"/>
  </w:num>
  <w:num w:numId="13">
    <w:abstractNumId w:val="13"/>
  </w:num>
  <w:num w:numId="14">
    <w:abstractNumId w:val="8"/>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xMLK0MDQyMjIzMrBQ0lEKTi0uzszPAykwNK0FAMhItCUtAAAA"/>
  </w:docVars>
  <w:rsids>
    <w:rsidRoot w:val="005017F6"/>
    <w:rsid w:val="00001960"/>
    <w:rsid w:val="000056B6"/>
    <w:rsid w:val="00005B8C"/>
    <w:rsid w:val="000062DB"/>
    <w:rsid w:val="00011F31"/>
    <w:rsid w:val="00013CA5"/>
    <w:rsid w:val="000163A3"/>
    <w:rsid w:val="00024732"/>
    <w:rsid w:val="0003448A"/>
    <w:rsid w:val="00034AE9"/>
    <w:rsid w:val="0004041C"/>
    <w:rsid w:val="00043BD2"/>
    <w:rsid w:val="000444C5"/>
    <w:rsid w:val="00047F8F"/>
    <w:rsid w:val="00050EF2"/>
    <w:rsid w:val="000564E0"/>
    <w:rsid w:val="0006132B"/>
    <w:rsid w:val="000671EB"/>
    <w:rsid w:val="0007163C"/>
    <w:rsid w:val="00077CB0"/>
    <w:rsid w:val="00084E6B"/>
    <w:rsid w:val="000A3A3B"/>
    <w:rsid w:val="000A3D5E"/>
    <w:rsid w:val="000A5303"/>
    <w:rsid w:val="000B37DE"/>
    <w:rsid w:val="000B3C82"/>
    <w:rsid w:val="000C63B9"/>
    <w:rsid w:val="000D1932"/>
    <w:rsid w:val="000E758D"/>
    <w:rsid w:val="000F0640"/>
    <w:rsid w:val="000F2300"/>
    <w:rsid w:val="000F5337"/>
    <w:rsid w:val="000F731F"/>
    <w:rsid w:val="001004C0"/>
    <w:rsid w:val="001049AA"/>
    <w:rsid w:val="001121CD"/>
    <w:rsid w:val="001129D4"/>
    <w:rsid w:val="00125126"/>
    <w:rsid w:val="00140FD1"/>
    <w:rsid w:val="001410D9"/>
    <w:rsid w:val="001445FB"/>
    <w:rsid w:val="0014467A"/>
    <w:rsid w:val="001448D5"/>
    <w:rsid w:val="00145D77"/>
    <w:rsid w:val="00146939"/>
    <w:rsid w:val="00151A8D"/>
    <w:rsid w:val="00163B84"/>
    <w:rsid w:val="0016785A"/>
    <w:rsid w:val="0017273B"/>
    <w:rsid w:val="00172F0A"/>
    <w:rsid w:val="00175DE9"/>
    <w:rsid w:val="00194C84"/>
    <w:rsid w:val="001A25FC"/>
    <w:rsid w:val="001A2E65"/>
    <w:rsid w:val="001A3242"/>
    <w:rsid w:val="001A46BF"/>
    <w:rsid w:val="001A5E91"/>
    <w:rsid w:val="001B30CB"/>
    <w:rsid w:val="001D02E4"/>
    <w:rsid w:val="001D54A1"/>
    <w:rsid w:val="001E5F9D"/>
    <w:rsid w:val="001F0086"/>
    <w:rsid w:val="001F16CB"/>
    <w:rsid w:val="001F67D2"/>
    <w:rsid w:val="001F7AB2"/>
    <w:rsid w:val="00211D99"/>
    <w:rsid w:val="002122BE"/>
    <w:rsid w:val="00214A6C"/>
    <w:rsid w:val="00226B36"/>
    <w:rsid w:val="00234E4F"/>
    <w:rsid w:val="00244848"/>
    <w:rsid w:val="002512FC"/>
    <w:rsid w:val="00252BBF"/>
    <w:rsid w:val="002541C7"/>
    <w:rsid w:val="00255A63"/>
    <w:rsid w:val="00261D01"/>
    <w:rsid w:val="00261DAB"/>
    <w:rsid w:val="00262867"/>
    <w:rsid w:val="002665DC"/>
    <w:rsid w:val="0026661A"/>
    <w:rsid w:val="00274633"/>
    <w:rsid w:val="00274B1A"/>
    <w:rsid w:val="00284C62"/>
    <w:rsid w:val="002855E3"/>
    <w:rsid w:val="00292F23"/>
    <w:rsid w:val="0029610D"/>
    <w:rsid w:val="002A11F0"/>
    <w:rsid w:val="002A5FBD"/>
    <w:rsid w:val="002A7394"/>
    <w:rsid w:val="002B1637"/>
    <w:rsid w:val="002B351A"/>
    <w:rsid w:val="002B525E"/>
    <w:rsid w:val="002C0F70"/>
    <w:rsid w:val="002C273C"/>
    <w:rsid w:val="002C4919"/>
    <w:rsid w:val="002C7108"/>
    <w:rsid w:val="002D167B"/>
    <w:rsid w:val="002D1FCD"/>
    <w:rsid w:val="002D2AC3"/>
    <w:rsid w:val="002D5035"/>
    <w:rsid w:val="002E2E3D"/>
    <w:rsid w:val="002E7299"/>
    <w:rsid w:val="002F730D"/>
    <w:rsid w:val="00300A85"/>
    <w:rsid w:val="003138B3"/>
    <w:rsid w:val="003142FA"/>
    <w:rsid w:val="003144E6"/>
    <w:rsid w:val="003153AB"/>
    <w:rsid w:val="00315677"/>
    <w:rsid w:val="00317456"/>
    <w:rsid w:val="00320462"/>
    <w:rsid w:val="00324A1E"/>
    <w:rsid w:val="003322C6"/>
    <w:rsid w:val="00343E37"/>
    <w:rsid w:val="003456F1"/>
    <w:rsid w:val="00347826"/>
    <w:rsid w:val="00347CF0"/>
    <w:rsid w:val="003517C9"/>
    <w:rsid w:val="00352964"/>
    <w:rsid w:val="00365747"/>
    <w:rsid w:val="003764A7"/>
    <w:rsid w:val="0038200A"/>
    <w:rsid w:val="00385BCD"/>
    <w:rsid w:val="00386243"/>
    <w:rsid w:val="00392CF2"/>
    <w:rsid w:val="00394320"/>
    <w:rsid w:val="00394D3B"/>
    <w:rsid w:val="003A2AEA"/>
    <w:rsid w:val="003A7B83"/>
    <w:rsid w:val="003B2685"/>
    <w:rsid w:val="003B4E47"/>
    <w:rsid w:val="003B70E0"/>
    <w:rsid w:val="003B7ED8"/>
    <w:rsid w:val="003D3799"/>
    <w:rsid w:val="003E1ADD"/>
    <w:rsid w:val="003E6B29"/>
    <w:rsid w:val="003E73FA"/>
    <w:rsid w:val="003E7FE5"/>
    <w:rsid w:val="003F06AD"/>
    <w:rsid w:val="003F16A2"/>
    <w:rsid w:val="003F3256"/>
    <w:rsid w:val="003F3641"/>
    <w:rsid w:val="003F5429"/>
    <w:rsid w:val="00402EDF"/>
    <w:rsid w:val="00405E9F"/>
    <w:rsid w:val="00413C3F"/>
    <w:rsid w:val="00421DE0"/>
    <w:rsid w:val="004229EB"/>
    <w:rsid w:val="004247B5"/>
    <w:rsid w:val="00427623"/>
    <w:rsid w:val="00431DA5"/>
    <w:rsid w:val="00436069"/>
    <w:rsid w:val="00444819"/>
    <w:rsid w:val="004526A5"/>
    <w:rsid w:val="00453F8F"/>
    <w:rsid w:val="00472682"/>
    <w:rsid w:val="00481EE1"/>
    <w:rsid w:val="004907AC"/>
    <w:rsid w:val="00495DA1"/>
    <w:rsid w:val="00497E28"/>
    <w:rsid w:val="004A21A1"/>
    <w:rsid w:val="004B25D6"/>
    <w:rsid w:val="004B353F"/>
    <w:rsid w:val="004B4466"/>
    <w:rsid w:val="004B502D"/>
    <w:rsid w:val="004B65EC"/>
    <w:rsid w:val="004D0653"/>
    <w:rsid w:val="004D2A1D"/>
    <w:rsid w:val="004D3AC6"/>
    <w:rsid w:val="004D489E"/>
    <w:rsid w:val="004D6095"/>
    <w:rsid w:val="004D7F88"/>
    <w:rsid w:val="004E21F8"/>
    <w:rsid w:val="004E29CA"/>
    <w:rsid w:val="004E4E76"/>
    <w:rsid w:val="004F599D"/>
    <w:rsid w:val="004F7180"/>
    <w:rsid w:val="004F773B"/>
    <w:rsid w:val="00500EFE"/>
    <w:rsid w:val="005017F6"/>
    <w:rsid w:val="005158A4"/>
    <w:rsid w:val="005302B6"/>
    <w:rsid w:val="00534E89"/>
    <w:rsid w:val="00536C5B"/>
    <w:rsid w:val="00541641"/>
    <w:rsid w:val="005434A7"/>
    <w:rsid w:val="00545549"/>
    <w:rsid w:val="0055188C"/>
    <w:rsid w:val="00552575"/>
    <w:rsid w:val="00554D89"/>
    <w:rsid w:val="00557643"/>
    <w:rsid w:val="00565861"/>
    <w:rsid w:val="00570B31"/>
    <w:rsid w:val="00572C05"/>
    <w:rsid w:val="00583C43"/>
    <w:rsid w:val="005A7C5A"/>
    <w:rsid w:val="005C03EF"/>
    <w:rsid w:val="005C100D"/>
    <w:rsid w:val="005C385D"/>
    <w:rsid w:val="005D7CFB"/>
    <w:rsid w:val="005E09FF"/>
    <w:rsid w:val="005E0E21"/>
    <w:rsid w:val="005E1902"/>
    <w:rsid w:val="005E223A"/>
    <w:rsid w:val="00600071"/>
    <w:rsid w:val="006011D9"/>
    <w:rsid w:val="006137EE"/>
    <w:rsid w:val="00624E50"/>
    <w:rsid w:val="00627DD6"/>
    <w:rsid w:val="00630691"/>
    <w:rsid w:val="0063363B"/>
    <w:rsid w:val="006406BD"/>
    <w:rsid w:val="006419F8"/>
    <w:rsid w:val="0065466B"/>
    <w:rsid w:val="0065481B"/>
    <w:rsid w:val="00655D46"/>
    <w:rsid w:val="00656556"/>
    <w:rsid w:val="0065726C"/>
    <w:rsid w:val="00657422"/>
    <w:rsid w:val="00660064"/>
    <w:rsid w:val="00662226"/>
    <w:rsid w:val="006631C6"/>
    <w:rsid w:val="00670BA2"/>
    <w:rsid w:val="00675CA4"/>
    <w:rsid w:val="00682551"/>
    <w:rsid w:val="00682B3E"/>
    <w:rsid w:val="00690A1F"/>
    <w:rsid w:val="006A751A"/>
    <w:rsid w:val="006A7921"/>
    <w:rsid w:val="006B0026"/>
    <w:rsid w:val="006B60A4"/>
    <w:rsid w:val="006C420B"/>
    <w:rsid w:val="006D5381"/>
    <w:rsid w:val="006E40FD"/>
    <w:rsid w:val="006E7231"/>
    <w:rsid w:val="006F7AB6"/>
    <w:rsid w:val="0070744E"/>
    <w:rsid w:val="00711ED1"/>
    <w:rsid w:val="00712E4A"/>
    <w:rsid w:val="00715516"/>
    <w:rsid w:val="00723DCC"/>
    <w:rsid w:val="0073196B"/>
    <w:rsid w:val="00743F8C"/>
    <w:rsid w:val="0075329E"/>
    <w:rsid w:val="00756311"/>
    <w:rsid w:val="00760E51"/>
    <w:rsid w:val="007619C8"/>
    <w:rsid w:val="00762D81"/>
    <w:rsid w:val="00764114"/>
    <w:rsid w:val="007657B5"/>
    <w:rsid w:val="00766FA1"/>
    <w:rsid w:val="00775F8A"/>
    <w:rsid w:val="007801CA"/>
    <w:rsid w:val="00787D5C"/>
    <w:rsid w:val="0079022C"/>
    <w:rsid w:val="00792086"/>
    <w:rsid w:val="007933C2"/>
    <w:rsid w:val="0079417D"/>
    <w:rsid w:val="007942B8"/>
    <w:rsid w:val="007A70E3"/>
    <w:rsid w:val="007B68E3"/>
    <w:rsid w:val="007C1459"/>
    <w:rsid w:val="007C4123"/>
    <w:rsid w:val="007C761D"/>
    <w:rsid w:val="007D17F7"/>
    <w:rsid w:val="007E197F"/>
    <w:rsid w:val="007E3E34"/>
    <w:rsid w:val="007E4BAC"/>
    <w:rsid w:val="007E600B"/>
    <w:rsid w:val="007E77EF"/>
    <w:rsid w:val="007F2716"/>
    <w:rsid w:val="00801DA2"/>
    <w:rsid w:val="008030D5"/>
    <w:rsid w:val="00804755"/>
    <w:rsid w:val="008054A4"/>
    <w:rsid w:val="00806946"/>
    <w:rsid w:val="00815776"/>
    <w:rsid w:val="008158E4"/>
    <w:rsid w:val="00826F6D"/>
    <w:rsid w:val="00831490"/>
    <w:rsid w:val="008419DD"/>
    <w:rsid w:val="00841F7E"/>
    <w:rsid w:val="00853BCA"/>
    <w:rsid w:val="008703FD"/>
    <w:rsid w:val="00882833"/>
    <w:rsid w:val="00885FC7"/>
    <w:rsid w:val="008964AB"/>
    <w:rsid w:val="008A0860"/>
    <w:rsid w:val="008A52CB"/>
    <w:rsid w:val="008B04C0"/>
    <w:rsid w:val="008B6F22"/>
    <w:rsid w:val="008B7416"/>
    <w:rsid w:val="008B7DCD"/>
    <w:rsid w:val="008C0AAE"/>
    <w:rsid w:val="008C3D61"/>
    <w:rsid w:val="008D2459"/>
    <w:rsid w:val="008D6FFA"/>
    <w:rsid w:val="008E08F7"/>
    <w:rsid w:val="008E51FF"/>
    <w:rsid w:val="008F101E"/>
    <w:rsid w:val="00905F24"/>
    <w:rsid w:val="00911157"/>
    <w:rsid w:val="0091483E"/>
    <w:rsid w:val="00917631"/>
    <w:rsid w:val="00925F86"/>
    <w:rsid w:val="00926A2C"/>
    <w:rsid w:val="009320AD"/>
    <w:rsid w:val="009405CF"/>
    <w:rsid w:val="0094373E"/>
    <w:rsid w:val="00944B09"/>
    <w:rsid w:val="00946395"/>
    <w:rsid w:val="009475E9"/>
    <w:rsid w:val="0095086B"/>
    <w:rsid w:val="0095244B"/>
    <w:rsid w:val="00955131"/>
    <w:rsid w:val="00956ABE"/>
    <w:rsid w:val="00970C8D"/>
    <w:rsid w:val="00972334"/>
    <w:rsid w:val="0097336A"/>
    <w:rsid w:val="00977917"/>
    <w:rsid w:val="00980CA1"/>
    <w:rsid w:val="00982BF4"/>
    <w:rsid w:val="00993886"/>
    <w:rsid w:val="009A4A8D"/>
    <w:rsid w:val="009A5E48"/>
    <w:rsid w:val="009A760A"/>
    <w:rsid w:val="009A7F5B"/>
    <w:rsid w:val="009B2AF5"/>
    <w:rsid w:val="009B4524"/>
    <w:rsid w:val="009B7AAC"/>
    <w:rsid w:val="009C2B9D"/>
    <w:rsid w:val="009C6CEB"/>
    <w:rsid w:val="009D20AB"/>
    <w:rsid w:val="009D5024"/>
    <w:rsid w:val="00A03F0A"/>
    <w:rsid w:val="00A054B1"/>
    <w:rsid w:val="00A05584"/>
    <w:rsid w:val="00A05DA8"/>
    <w:rsid w:val="00A16CE0"/>
    <w:rsid w:val="00A2154F"/>
    <w:rsid w:val="00A239CF"/>
    <w:rsid w:val="00A2414B"/>
    <w:rsid w:val="00A34FC8"/>
    <w:rsid w:val="00A36B0F"/>
    <w:rsid w:val="00A44398"/>
    <w:rsid w:val="00A44CEE"/>
    <w:rsid w:val="00A54768"/>
    <w:rsid w:val="00A60338"/>
    <w:rsid w:val="00A62147"/>
    <w:rsid w:val="00A67354"/>
    <w:rsid w:val="00A8408F"/>
    <w:rsid w:val="00A8545A"/>
    <w:rsid w:val="00A85768"/>
    <w:rsid w:val="00A86844"/>
    <w:rsid w:val="00A93A63"/>
    <w:rsid w:val="00A95FAE"/>
    <w:rsid w:val="00A9621F"/>
    <w:rsid w:val="00A9772D"/>
    <w:rsid w:val="00AA21FD"/>
    <w:rsid w:val="00AB22CD"/>
    <w:rsid w:val="00AB3E5C"/>
    <w:rsid w:val="00AB5D10"/>
    <w:rsid w:val="00AC1487"/>
    <w:rsid w:val="00AC5643"/>
    <w:rsid w:val="00AD031B"/>
    <w:rsid w:val="00AF3F2A"/>
    <w:rsid w:val="00AF48F0"/>
    <w:rsid w:val="00AF4CE4"/>
    <w:rsid w:val="00B04D67"/>
    <w:rsid w:val="00B1430E"/>
    <w:rsid w:val="00B22C9F"/>
    <w:rsid w:val="00B26A00"/>
    <w:rsid w:val="00B32BD1"/>
    <w:rsid w:val="00B4348E"/>
    <w:rsid w:val="00B446DC"/>
    <w:rsid w:val="00B446F1"/>
    <w:rsid w:val="00B4615A"/>
    <w:rsid w:val="00B63E67"/>
    <w:rsid w:val="00B81229"/>
    <w:rsid w:val="00B82787"/>
    <w:rsid w:val="00B868C1"/>
    <w:rsid w:val="00B930BF"/>
    <w:rsid w:val="00B974CD"/>
    <w:rsid w:val="00BA1CAE"/>
    <w:rsid w:val="00BA57C4"/>
    <w:rsid w:val="00BA5CF5"/>
    <w:rsid w:val="00BA70E1"/>
    <w:rsid w:val="00BC261D"/>
    <w:rsid w:val="00BC59A3"/>
    <w:rsid w:val="00BD75C4"/>
    <w:rsid w:val="00BE2590"/>
    <w:rsid w:val="00BF43BA"/>
    <w:rsid w:val="00BF5343"/>
    <w:rsid w:val="00C012D9"/>
    <w:rsid w:val="00C0522A"/>
    <w:rsid w:val="00C052EE"/>
    <w:rsid w:val="00C06DD9"/>
    <w:rsid w:val="00C20098"/>
    <w:rsid w:val="00C225CF"/>
    <w:rsid w:val="00C42CBE"/>
    <w:rsid w:val="00C45880"/>
    <w:rsid w:val="00C508A6"/>
    <w:rsid w:val="00C5244F"/>
    <w:rsid w:val="00C57EB4"/>
    <w:rsid w:val="00C62EE4"/>
    <w:rsid w:val="00C6575B"/>
    <w:rsid w:val="00C70CCF"/>
    <w:rsid w:val="00C7419D"/>
    <w:rsid w:val="00C75213"/>
    <w:rsid w:val="00C81E84"/>
    <w:rsid w:val="00CB7BFA"/>
    <w:rsid w:val="00CD02FB"/>
    <w:rsid w:val="00CF2E56"/>
    <w:rsid w:val="00CF682E"/>
    <w:rsid w:val="00CF6C48"/>
    <w:rsid w:val="00D019CA"/>
    <w:rsid w:val="00D047B9"/>
    <w:rsid w:val="00D0574A"/>
    <w:rsid w:val="00D0686A"/>
    <w:rsid w:val="00D10F80"/>
    <w:rsid w:val="00D114AE"/>
    <w:rsid w:val="00D202B1"/>
    <w:rsid w:val="00D250A3"/>
    <w:rsid w:val="00D3141F"/>
    <w:rsid w:val="00D43730"/>
    <w:rsid w:val="00D44551"/>
    <w:rsid w:val="00D474AD"/>
    <w:rsid w:val="00D47BB2"/>
    <w:rsid w:val="00D53B43"/>
    <w:rsid w:val="00D56446"/>
    <w:rsid w:val="00D601E8"/>
    <w:rsid w:val="00D62CF7"/>
    <w:rsid w:val="00D719CC"/>
    <w:rsid w:val="00D722BC"/>
    <w:rsid w:val="00D72611"/>
    <w:rsid w:val="00D755F6"/>
    <w:rsid w:val="00D801CB"/>
    <w:rsid w:val="00D8388D"/>
    <w:rsid w:val="00D863DC"/>
    <w:rsid w:val="00D90FE6"/>
    <w:rsid w:val="00D962B3"/>
    <w:rsid w:val="00D97559"/>
    <w:rsid w:val="00D97AA0"/>
    <w:rsid w:val="00DA6681"/>
    <w:rsid w:val="00DA6D01"/>
    <w:rsid w:val="00DC3090"/>
    <w:rsid w:val="00DC71A7"/>
    <w:rsid w:val="00DD0AA5"/>
    <w:rsid w:val="00DD4207"/>
    <w:rsid w:val="00DD74B0"/>
    <w:rsid w:val="00DE69C3"/>
    <w:rsid w:val="00DE742A"/>
    <w:rsid w:val="00DE7ECA"/>
    <w:rsid w:val="00DF4FBE"/>
    <w:rsid w:val="00DF7126"/>
    <w:rsid w:val="00E02008"/>
    <w:rsid w:val="00E07282"/>
    <w:rsid w:val="00E0744B"/>
    <w:rsid w:val="00E132FD"/>
    <w:rsid w:val="00E14384"/>
    <w:rsid w:val="00E165F2"/>
    <w:rsid w:val="00E16EEA"/>
    <w:rsid w:val="00E21562"/>
    <w:rsid w:val="00E216B1"/>
    <w:rsid w:val="00E321FA"/>
    <w:rsid w:val="00E3582D"/>
    <w:rsid w:val="00E443C4"/>
    <w:rsid w:val="00E44CDE"/>
    <w:rsid w:val="00E45B89"/>
    <w:rsid w:val="00E55ABF"/>
    <w:rsid w:val="00E70842"/>
    <w:rsid w:val="00E71693"/>
    <w:rsid w:val="00E716FD"/>
    <w:rsid w:val="00E77CCE"/>
    <w:rsid w:val="00E81B95"/>
    <w:rsid w:val="00E864BB"/>
    <w:rsid w:val="00E86FD5"/>
    <w:rsid w:val="00E871C0"/>
    <w:rsid w:val="00E87241"/>
    <w:rsid w:val="00E911B5"/>
    <w:rsid w:val="00E92D87"/>
    <w:rsid w:val="00E938A0"/>
    <w:rsid w:val="00E95E8A"/>
    <w:rsid w:val="00EA0CCB"/>
    <w:rsid w:val="00EA4674"/>
    <w:rsid w:val="00EB2590"/>
    <w:rsid w:val="00EB25EC"/>
    <w:rsid w:val="00EC1AFA"/>
    <w:rsid w:val="00EF04DF"/>
    <w:rsid w:val="00EF37B8"/>
    <w:rsid w:val="00F07804"/>
    <w:rsid w:val="00F159D1"/>
    <w:rsid w:val="00F162F1"/>
    <w:rsid w:val="00F20B0A"/>
    <w:rsid w:val="00F23FE4"/>
    <w:rsid w:val="00F24370"/>
    <w:rsid w:val="00F252DF"/>
    <w:rsid w:val="00F4079A"/>
    <w:rsid w:val="00F46F52"/>
    <w:rsid w:val="00F47B44"/>
    <w:rsid w:val="00F61E92"/>
    <w:rsid w:val="00F66618"/>
    <w:rsid w:val="00F66CFB"/>
    <w:rsid w:val="00F8561D"/>
    <w:rsid w:val="00F85627"/>
    <w:rsid w:val="00F95654"/>
    <w:rsid w:val="00F969D0"/>
    <w:rsid w:val="00FA2A01"/>
    <w:rsid w:val="00FB1A41"/>
    <w:rsid w:val="00FC7791"/>
    <w:rsid w:val="00FD32E1"/>
    <w:rsid w:val="00FD5930"/>
    <w:rsid w:val="00FE14DD"/>
    <w:rsid w:val="00FE18DF"/>
    <w:rsid w:val="00FE5262"/>
    <w:rsid w:val="00FE7ED0"/>
    <w:rsid w:val="00FF6909"/>
    <w:rsid w:val="00FF6FD6"/>
    <w:rsid w:val="00FF7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f4"/>
    <w:qFormat/>
    <w:rsid w:val="000062DB"/>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3"/>
    <w:rsid w:val="000062DB"/>
    <w:rPr>
      <w:rFonts w:eastAsia="Times New Roman" w:cs="Times New Roman"/>
      <w:kern w:val="0"/>
      <w:szCs w:val="20"/>
      <w:lang w:val="en-GB" w:eastAsia="en-US"/>
    </w:rPr>
  </w:style>
  <w:style w:type="paragraph" w:customStyle="1" w:styleId="CharCharCharCharCharChar">
    <w:name w:val="Char Char Char Char Char Char"/>
    <w:semiHidden/>
    <w:rsid w:val="00AC5643"/>
    <w:pPr>
      <w:keepNext/>
      <w:numPr>
        <w:numId w:val="4"/>
      </w:numPr>
      <w:autoSpaceDE w:val="0"/>
      <w:autoSpaceDN w:val="0"/>
      <w:adjustRightInd w:val="0"/>
      <w:spacing w:before="60" w:after="60"/>
      <w:jc w:val="both"/>
    </w:pPr>
    <w:rPr>
      <w:rFonts w:ascii="Arial" w:eastAsia="宋体" w:hAnsi="Arial" w:cs="Arial"/>
      <w:color w:val="0000FF"/>
      <w:szCs w:val="20"/>
    </w:rPr>
  </w:style>
  <w:style w:type="paragraph" w:customStyle="1" w:styleId="Doc-text2">
    <w:name w:val="Doc-text2"/>
    <w:basedOn w:val="a"/>
    <w:link w:val="Doc-text2Char"/>
    <w:qFormat/>
    <w:rsid w:val="00787D5C"/>
    <w:pPr>
      <w:widowControl/>
      <w:tabs>
        <w:tab w:val="left" w:pos="1622"/>
      </w:tabs>
      <w:ind w:left="1622" w:hanging="363"/>
      <w:jc w:val="left"/>
    </w:pPr>
    <w:rPr>
      <w:rFonts w:ascii="Arial" w:eastAsia="MS Mincho" w:hAnsi="Arial" w:cs="Times New Roman"/>
      <w:kern w:val="0"/>
      <w:szCs w:val="24"/>
      <w:lang w:eastAsia="en-GB"/>
    </w:rPr>
  </w:style>
  <w:style w:type="character" w:customStyle="1" w:styleId="Doc-text2Char">
    <w:name w:val="Doc-text2 Char"/>
    <w:link w:val="Doc-text2"/>
    <w:qFormat/>
    <w:rsid w:val="00787D5C"/>
    <w:rPr>
      <w:rFonts w:ascii="Arial" w:eastAsia="MS Mincho" w:hAnsi="Arial" w:cs="Times New Roman"/>
      <w:kern w:val="0"/>
      <w:szCs w:val="24"/>
      <w:lang w:eastAsia="en-GB"/>
    </w:rPr>
  </w:style>
  <w:style w:type="paragraph" w:styleId="af5">
    <w:name w:val="Revision"/>
    <w:hidden/>
    <w:uiPriority w:val="99"/>
    <w:semiHidden/>
    <w:rsid w:val="006A7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958257">
      <w:bodyDiv w:val="1"/>
      <w:marLeft w:val="0"/>
      <w:marRight w:val="0"/>
      <w:marTop w:val="0"/>
      <w:marBottom w:val="0"/>
      <w:divBdr>
        <w:top w:val="none" w:sz="0" w:space="0" w:color="auto"/>
        <w:left w:val="none" w:sz="0" w:space="0" w:color="auto"/>
        <w:bottom w:val="none" w:sz="0" w:space="0" w:color="auto"/>
        <w:right w:val="none" w:sz="0" w:space="0" w:color="auto"/>
      </w:divBdr>
    </w:div>
    <w:div w:id="523515983">
      <w:bodyDiv w:val="1"/>
      <w:marLeft w:val="0"/>
      <w:marRight w:val="0"/>
      <w:marTop w:val="0"/>
      <w:marBottom w:val="0"/>
      <w:divBdr>
        <w:top w:val="none" w:sz="0" w:space="0" w:color="auto"/>
        <w:left w:val="none" w:sz="0" w:space="0" w:color="auto"/>
        <w:bottom w:val="none" w:sz="0" w:space="0" w:color="auto"/>
        <w:right w:val="none" w:sz="0" w:space="0" w:color="auto"/>
      </w:divBdr>
      <w:divsChild>
        <w:div w:id="1060592215">
          <w:marLeft w:val="1699"/>
          <w:marRight w:val="0"/>
          <w:marTop w:val="200"/>
          <w:marBottom w:val="0"/>
          <w:divBdr>
            <w:top w:val="none" w:sz="0" w:space="0" w:color="auto"/>
            <w:left w:val="none" w:sz="0" w:space="0" w:color="auto"/>
            <w:bottom w:val="none" w:sz="0" w:space="0" w:color="auto"/>
            <w:right w:val="none" w:sz="0" w:space="0" w:color="auto"/>
          </w:divBdr>
        </w:div>
        <w:div w:id="987900459">
          <w:marLeft w:val="1699"/>
          <w:marRight w:val="0"/>
          <w:marTop w:val="200"/>
          <w:marBottom w:val="0"/>
          <w:divBdr>
            <w:top w:val="none" w:sz="0" w:space="0" w:color="auto"/>
            <w:left w:val="none" w:sz="0" w:space="0" w:color="auto"/>
            <w:bottom w:val="none" w:sz="0" w:space="0" w:color="auto"/>
            <w:right w:val="none" w:sz="0" w:space="0" w:color="auto"/>
          </w:divBdr>
        </w:div>
        <w:div w:id="524825844">
          <w:marLeft w:val="720"/>
          <w:marRight w:val="0"/>
          <w:marTop w:val="400"/>
          <w:marBottom w:val="0"/>
          <w:divBdr>
            <w:top w:val="none" w:sz="0" w:space="0" w:color="auto"/>
            <w:left w:val="none" w:sz="0" w:space="0" w:color="auto"/>
            <w:bottom w:val="none" w:sz="0" w:space="0" w:color="auto"/>
            <w:right w:val="none" w:sz="0" w:space="0" w:color="auto"/>
          </w:divBdr>
        </w:div>
        <w:div w:id="1567569512">
          <w:marLeft w:val="1699"/>
          <w:marRight w:val="0"/>
          <w:marTop w:val="200"/>
          <w:marBottom w:val="0"/>
          <w:divBdr>
            <w:top w:val="none" w:sz="0" w:space="0" w:color="auto"/>
            <w:left w:val="none" w:sz="0" w:space="0" w:color="auto"/>
            <w:bottom w:val="none" w:sz="0" w:space="0" w:color="auto"/>
            <w:right w:val="none" w:sz="0" w:space="0" w:color="auto"/>
          </w:divBdr>
        </w:div>
        <w:div w:id="1672030038">
          <w:marLeft w:val="3542"/>
          <w:marRight w:val="0"/>
          <w:marTop w:val="200"/>
          <w:marBottom w:val="0"/>
          <w:divBdr>
            <w:top w:val="none" w:sz="0" w:space="0" w:color="auto"/>
            <w:left w:val="none" w:sz="0" w:space="0" w:color="auto"/>
            <w:bottom w:val="none" w:sz="0" w:space="0" w:color="auto"/>
            <w:right w:val="none" w:sz="0" w:space="0" w:color="auto"/>
          </w:divBdr>
        </w:div>
        <w:div w:id="986863784">
          <w:marLeft w:val="3542"/>
          <w:marRight w:val="0"/>
          <w:marTop w:val="200"/>
          <w:marBottom w:val="0"/>
          <w:divBdr>
            <w:top w:val="none" w:sz="0" w:space="0" w:color="auto"/>
            <w:left w:val="none" w:sz="0" w:space="0" w:color="auto"/>
            <w:bottom w:val="none" w:sz="0" w:space="0" w:color="auto"/>
            <w:right w:val="none" w:sz="0" w:space="0" w:color="auto"/>
          </w:divBdr>
        </w:div>
        <w:div w:id="1526670685">
          <w:marLeft w:val="1699"/>
          <w:marRight w:val="0"/>
          <w:marTop w:val="200"/>
          <w:marBottom w:val="0"/>
          <w:divBdr>
            <w:top w:val="none" w:sz="0" w:space="0" w:color="auto"/>
            <w:left w:val="none" w:sz="0" w:space="0" w:color="auto"/>
            <w:bottom w:val="none" w:sz="0" w:space="0" w:color="auto"/>
            <w:right w:val="none" w:sz="0" w:space="0" w:color="auto"/>
          </w:divBdr>
        </w:div>
        <w:div w:id="468673287">
          <w:marLeft w:val="3542"/>
          <w:marRight w:val="0"/>
          <w:marTop w:val="200"/>
          <w:marBottom w:val="0"/>
          <w:divBdr>
            <w:top w:val="none" w:sz="0" w:space="0" w:color="auto"/>
            <w:left w:val="none" w:sz="0" w:space="0" w:color="auto"/>
            <w:bottom w:val="none" w:sz="0" w:space="0" w:color="auto"/>
            <w:right w:val="none" w:sz="0" w:space="0" w:color="auto"/>
          </w:divBdr>
        </w:div>
        <w:div w:id="555698782">
          <w:marLeft w:val="3542"/>
          <w:marRight w:val="0"/>
          <w:marTop w:val="200"/>
          <w:marBottom w:val="0"/>
          <w:divBdr>
            <w:top w:val="none" w:sz="0" w:space="0" w:color="auto"/>
            <w:left w:val="none" w:sz="0" w:space="0" w:color="auto"/>
            <w:bottom w:val="none" w:sz="0" w:space="0" w:color="auto"/>
            <w:right w:val="none" w:sz="0" w:space="0" w:color="auto"/>
          </w:divBdr>
        </w:div>
        <w:div w:id="1482234133">
          <w:marLeft w:val="1699"/>
          <w:marRight w:val="0"/>
          <w:marTop w:val="200"/>
          <w:marBottom w:val="0"/>
          <w:divBdr>
            <w:top w:val="none" w:sz="0" w:space="0" w:color="auto"/>
            <w:left w:val="none" w:sz="0" w:space="0" w:color="auto"/>
            <w:bottom w:val="none" w:sz="0" w:space="0" w:color="auto"/>
            <w:right w:val="none" w:sz="0" w:space="0" w:color="auto"/>
          </w:divBdr>
        </w:div>
        <w:div w:id="2079598004">
          <w:marLeft w:val="3542"/>
          <w:marRight w:val="0"/>
          <w:marTop w:val="200"/>
          <w:marBottom w:val="0"/>
          <w:divBdr>
            <w:top w:val="none" w:sz="0" w:space="0" w:color="auto"/>
            <w:left w:val="none" w:sz="0" w:space="0" w:color="auto"/>
            <w:bottom w:val="none" w:sz="0" w:space="0" w:color="auto"/>
            <w:right w:val="none" w:sz="0" w:space="0" w:color="auto"/>
          </w:divBdr>
        </w:div>
        <w:div w:id="1122722226">
          <w:marLeft w:val="3542"/>
          <w:marRight w:val="0"/>
          <w:marTop w:val="200"/>
          <w:marBottom w:val="0"/>
          <w:divBdr>
            <w:top w:val="none" w:sz="0" w:space="0" w:color="auto"/>
            <w:left w:val="none" w:sz="0" w:space="0" w:color="auto"/>
            <w:bottom w:val="none" w:sz="0" w:space="0" w:color="auto"/>
            <w:right w:val="none" w:sz="0" w:space="0" w:color="auto"/>
          </w:divBdr>
        </w:div>
      </w:divsChild>
    </w:div>
    <w:div w:id="906308454">
      <w:bodyDiv w:val="1"/>
      <w:marLeft w:val="0"/>
      <w:marRight w:val="0"/>
      <w:marTop w:val="0"/>
      <w:marBottom w:val="0"/>
      <w:divBdr>
        <w:top w:val="none" w:sz="0" w:space="0" w:color="auto"/>
        <w:left w:val="none" w:sz="0" w:space="0" w:color="auto"/>
        <w:bottom w:val="none" w:sz="0" w:space="0" w:color="auto"/>
        <w:right w:val="none" w:sz="0" w:space="0" w:color="auto"/>
      </w:divBdr>
    </w:div>
    <w:div w:id="106656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8CA54-B511-4554-8F5D-DF8F3F4CF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39589E-3993-4936-ACCA-49AEDA14884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4F2BCDC-228E-4338-B677-6176FFAD49AA}">
  <ds:schemaRefs>
    <ds:schemaRef ds:uri="http://schemas.microsoft.com/sharepoint/v3/contenttype/forms"/>
  </ds:schemaRefs>
</ds:datastoreItem>
</file>

<file path=customXml/itemProps4.xml><?xml version="1.0" encoding="utf-8"?>
<ds:datastoreItem xmlns:ds="http://schemas.openxmlformats.org/officeDocument/2006/customXml" ds:itemID="{33B994BE-E7F7-420C-A30C-E3CFAF870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967</Words>
  <Characters>5517</Characters>
  <Application>Microsoft Office Word</Application>
  <DocSecurity>0</DocSecurity>
  <Lines>45</Lines>
  <Paragraphs>12</Paragraphs>
  <ScaleCrop>false</ScaleCrop>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15</cp:revision>
  <dcterms:created xsi:type="dcterms:W3CDTF">2023-02-17T07:58:00Z</dcterms:created>
  <dcterms:modified xsi:type="dcterms:W3CDTF">2023-02-17T08:48:00Z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